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8E510" w14:textId="7C213830" w:rsidR="00B85C67" w:rsidRDefault="00594DD0" w:rsidP="00B85C67">
      <w:pPr>
        <w:rPr>
          <w:rFonts w:eastAsia="Times New Roman"/>
        </w:rPr>
      </w:pPr>
      <w:r>
        <w:rPr>
          <w:rFonts w:ascii="Arial" w:hAnsi="Arial" w:cs="Arial"/>
          <w:b/>
          <w:bCs/>
          <w:sz w:val="20"/>
          <w:szCs w:val="20"/>
        </w:rPr>
        <w:t xml:space="preserve">3GPP TSG RAN WG1 Meeting </w:t>
      </w:r>
      <w:r w:rsidR="001B2D32">
        <w:rPr>
          <w:rFonts w:ascii="Arial" w:hAnsi="Arial" w:cs="Arial"/>
          <w:b/>
          <w:bCs/>
          <w:sz w:val="20"/>
          <w:szCs w:val="20"/>
        </w:rPr>
        <w:t>#</w:t>
      </w:r>
      <w:r w:rsidR="00163046">
        <w:rPr>
          <w:rFonts w:ascii="Arial" w:hAnsi="Arial" w:cs="Arial"/>
          <w:b/>
          <w:bCs/>
          <w:sz w:val="20"/>
          <w:szCs w:val="20"/>
        </w:rPr>
        <w:t>9</w:t>
      </w:r>
      <w:r w:rsidR="000404FC">
        <w:rPr>
          <w:rFonts w:ascii="Arial" w:hAnsi="Arial" w:cs="Arial"/>
          <w:b/>
          <w:bCs/>
          <w:sz w:val="20"/>
          <w:szCs w:val="20"/>
        </w:rPr>
        <w:t>5</w:t>
      </w:r>
      <w:r w:rsidR="00B11415" w:rsidRPr="00B11415">
        <w:rPr>
          <w:rFonts w:ascii="Arial" w:hAnsi="Arial" w:cs="Arial"/>
          <w:b/>
          <w:bCs/>
          <w:sz w:val="20"/>
          <w:szCs w:val="20"/>
        </w:rPr>
        <w:t xml:space="preserve"> </w:t>
      </w:r>
      <w:r w:rsidR="00B11415" w:rsidRPr="00B11415">
        <w:rPr>
          <w:rFonts w:ascii="Arial" w:eastAsia="MS Mincho" w:hAnsi="Arial" w:cs="Arial"/>
          <w:b/>
          <w:bCs/>
          <w:sz w:val="20"/>
          <w:szCs w:val="20"/>
          <w:lang w:eastAsia="ja-JP"/>
        </w:rPr>
        <w:tab/>
      </w:r>
      <w:r w:rsidR="00B11415" w:rsidRPr="00B11415">
        <w:rPr>
          <w:rFonts w:ascii="Arial" w:hAnsi="Arial" w:cs="Arial"/>
          <w:b/>
          <w:bCs/>
          <w:sz w:val="20"/>
          <w:szCs w:val="20"/>
        </w:rPr>
        <w:tab/>
      </w:r>
      <w:r w:rsidR="00B11415" w:rsidRPr="00B11415">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Pr>
          <w:rFonts w:ascii="Arial" w:hAnsi="Arial" w:cs="Arial"/>
          <w:b/>
          <w:bCs/>
          <w:sz w:val="20"/>
          <w:szCs w:val="20"/>
        </w:rPr>
        <w:t>R1-18</w:t>
      </w:r>
      <w:r w:rsidR="009F5E0B">
        <w:rPr>
          <w:rFonts w:ascii="Arial" w:hAnsi="Arial" w:cs="Arial"/>
          <w:b/>
          <w:bCs/>
          <w:sz w:val="20"/>
          <w:szCs w:val="20"/>
        </w:rPr>
        <w:t>1</w:t>
      </w:r>
      <w:r w:rsidR="000404FC">
        <w:rPr>
          <w:rFonts w:ascii="Arial" w:hAnsi="Arial" w:cs="Arial"/>
          <w:b/>
          <w:bCs/>
          <w:sz w:val="20"/>
          <w:szCs w:val="20"/>
        </w:rPr>
        <w:t>2912</w:t>
      </w:r>
    </w:p>
    <w:p w14:paraId="2A527F7E" w14:textId="19D129AA" w:rsidR="00B11415" w:rsidRPr="00B11415" w:rsidRDefault="000404FC" w:rsidP="00B11415">
      <w:pPr>
        <w:tabs>
          <w:tab w:val="center" w:pos="4536"/>
          <w:tab w:val="right" w:pos="9072"/>
        </w:tabs>
        <w:rPr>
          <w:rFonts w:ascii="Arial" w:eastAsia="MS Mincho" w:hAnsi="Arial" w:cs="Arial"/>
          <w:b/>
          <w:bCs/>
          <w:sz w:val="20"/>
          <w:szCs w:val="20"/>
          <w:lang w:eastAsia="ja-JP"/>
        </w:rPr>
      </w:pPr>
      <w:r>
        <w:rPr>
          <w:rFonts w:ascii="Arial" w:eastAsia="MS Mincho" w:hAnsi="Arial" w:cs="Arial"/>
          <w:b/>
          <w:bCs/>
          <w:sz w:val="20"/>
          <w:szCs w:val="20"/>
          <w:lang w:eastAsia="ja-JP"/>
        </w:rPr>
        <w:t>Spokane</w:t>
      </w:r>
      <w:r w:rsidR="00163046">
        <w:rPr>
          <w:rFonts w:ascii="Arial" w:eastAsia="MS Mincho" w:hAnsi="Arial" w:cs="Arial"/>
          <w:b/>
          <w:bCs/>
          <w:sz w:val="20"/>
          <w:szCs w:val="20"/>
          <w:lang w:eastAsia="ja-JP"/>
        </w:rPr>
        <w:t>,</w:t>
      </w:r>
      <w:r w:rsidR="009A162F">
        <w:rPr>
          <w:rFonts w:ascii="Arial" w:eastAsia="MS Mincho" w:hAnsi="Arial" w:cs="Arial"/>
          <w:b/>
          <w:bCs/>
          <w:sz w:val="20"/>
          <w:szCs w:val="20"/>
          <w:lang w:eastAsia="ja-JP"/>
        </w:rPr>
        <w:t xml:space="preserve"> </w:t>
      </w:r>
      <w:r>
        <w:rPr>
          <w:rFonts w:ascii="Arial" w:eastAsia="MS Mincho" w:hAnsi="Arial" w:cs="Arial"/>
          <w:b/>
          <w:bCs/>
          <w:sz w:val="20"/>
          <w:szCs w:val="20"/>
          <w:lang w:eastAsia="ja-JP"/>
        </w:rPr>
        <w:t>USA</w:t>
      </w:r>
      <w:r w:rsidR="00163046">
        <w:rPr>
          <w:rFonts w:ascii="Arial" w:eastAsia="MS Mincho" w:hAnsi="Arial" w:cs="Arial"/>
          <w:b/>
          <w:bCs/>
          <w:sz w:val="20"/>
          <w:szCs w:val="20"/>
          <w:lang w:eastAsia="ja-JP"/>
        </w:rPr>
        <w:t xml:space="preserve"> </w:t>
      </w:r>
      <w:r>
        <w:rPr>
          <w:rFonts w:ascii="Arial" w:eastAsia="MS Mincho" w:hAnsi="Arial" w:cs="Arial"/>
          <w:b/>
          <w:bCs/>
          <w:sz w:val="20"/>
          <w:szCs w:val="20"/>
          <w:lang w:eastAsia="ja-JP"/>
        </w:rPr>
        <w:t>12</w:t>
      </w:r>
      <w:r w:rsidR="00163046" w:rsidRPr="00163046">
        <w:rPr>
          <w:rFonts w:ascii="Arial" w:eastAsia="MS Mincho" w:hAnsi="Arial" w:cs="Arial"/>
          <w:b/>
          <w:bCs/>
          <w:sz w:val="20"/>
          <w:szCs w:val="20"/>
          <w:vertAlign w:val="superscript"/>
          <w:lang w:eastAsia="ja-JP"/>
        </w:rPr>
        <w:t>th</w:t>
      </w:r>
      <w:r w:rsidR="00163046">
        <w:rPr>
          <w:rFonts w:ascii="Arial" w:eastAsia="MS Mincho" w:hAnsi="Arial" w:cs="Arial"/>
          <w:b/>
          <w:bCs/>
          <w:sz w:val="20"/>
          <w:szCs w:val="20"/>
          <w:lang w:eastAsia="ja-JP"/>
        </w:rPr>
        <w:t xml:space="preserve"> </w:t>
      </w:r>
      <w:r w:rsidR="00594DD0">
        <w:rPr>
          <w:rFonts w:ascii="Arial" w:eastAsia="MS Mincho" w:hAnsi="Arial" w:cs="Arial"/>
          <w:b/>
          <w:bCs/>
          <w:sz w:val="20"/>
          <w:szCs w:val="20"/>
          <w:lang w:eastAsia="ja-JP"/>
        </w:rPr>
        <w:t xml:space="preserve">– </w:t>
      </w:r>
      <w:r w:rsidR="006E2B71">
        <w:rPr>
          <w:rFonts w:ascii="Arial" w:eastAsia="MS Mincho" w:hAnsi="Arial" w:cs="Arial"/>
          <w:b/>
          <w:bCs/>
          <w:sz w:val="20"/>
          <w:szCs w:val="20"/>
          <w:lang w:eastAsia="ja-JP"/>
        </w:rPr>
        <w:t>1</w:t>
      </w:r>
      <w:r>
        <w:rPr>
          <w:rFonts w:ascii="Arial" w:eastAsia="MS Mincho" w:hAnsi="Arial" w:cs="Arial"/>
          <w:b/>
          <w:bCs/>
          <w:sz w:val="20"/>
          <w:szCs w:val="20"/>
          <w:lang w:eastAsia="ja-JP"/>
        </w:rPr>
        <w:t>6</w:t>
      </w:r>
      <w:r w:rsidR="009A162F" w:rsidRPr="009A162F">
        <w:rPr>
          <w:rFonts w:ascii="Arial" w:eastAsia="MS Mincho" w:hAnsi="Arial" w:cs="Arial"/>
          <w:b/>
          <w:bCs/>
          <w:sz w:val="20"/>
          <w:szCs w:val="20"/>
          <w:vertAlign w:val="superscript"/>
          <w:lang w:eastAsia="ja-JP"/>
        </w:rPr>
        <w:t>th</w:t>
      </w:r>
      <w:r w:rsidR="00594DD0">
        <w:rPr>
          <w:rFonts w:ascii="Arial" w:eastAsia="MS Mincho" w:hAnsi="Arial" w:cs="Arial"/>
          <w:b/>
          <w:bCs/>
          <w:sz w:val="20"/>
          <w:szCs w:val="20"/>
          <w:lang w:eastAsia="ja-JP"/>
        </w:rPr>
        <w:t>, 2018</w:t>
      </w:r>
    </w:p>
    <w:p w14:paraId="49C683B7" w14:textId="77777777" w:rsidR="00136C56" w:rsidRPr="00136C56" w:rsidRDefault="00136C56" w:rsidP="00136C56">
      <w:pPr>
        <w:pStyle w:val="CRCoverPage"/>
        <w:outlineLvl w:val="0"/>
        <w:rPr>
          <w:rFonts w:ascii="Times New Roman" w:hAnsi="Times New Roman"/>
          <w:b/>
          <w:sz w:val="24"/>
          <w:lang w:val="en-US"/>
        </w:rPr>
      </w:pPr>
    </w:p>
    <w:p w14:paraId="5FB7E722" w14:textId="5139F508"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624246">
        <w:rPr>
          <w:sz w:val="22"/>
          <w:szCs w:val="22"/>
        </w:rPr>
        <w:t>7.</w:t>
      </w:r>
      <w:r w:rsidR="00163046">
        <w:rPr>
          <w:sz w:val="22"/>
          <w:szCs w:val="22"/>
        </w:rPr>
        <w:t>2.2</w:t>
      </w:r>
      <w:r w:rsidR="000404FC">
        <w:rPr>
          <w:sz w:val="22"/>
          <w:szCs w:val="22"/>
        </w:rPr>
        <w:t>.2</w:t>
      </w:r>
    </w:p>
    <w:p w14:paraId="2D2AF385"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4C7B8360" w14:textId="026E31F9" w:rsidR="008E401E" w:rsidRDefault="003D3C45" w:rsidP="00311702">
      <w:pPr>
        <w:pStyle w:val="3GPPHeader"/>
        <w:rPr>
          <w:sz w:val="22"/>
          <w:szCs w:val="22"/>
        </w:rPr>
      </w:pPr>
      <w:r w:rsidRPr="00315C6E">
        <w:rPr>
          <w:sz w:val="22"/>
          <w:szCs w:val="22"/>
        </w:rPr>
        <w:t>Title:</w:t>
      </w:r>
      <w:r w:rsidR="00E90E49" w:rsidRPr="00315C6E">
        <w:rPr>
          <w:sz w:val="22"/>
          <w:szCs w:val="22"/>
        </w:rPr>
        <w:tab/>
      </w:r>
      <w:r w:rsidR="000404FC">
        <w:rPr>
          <w:sz w:val="22"/>
          <w:szCs w:val="22"/>
        </w:rPr>
        <w:t>Frame structure and wideband operation in NR-U</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270A31FC" w14:textId="77777777" w:rsidR="002E5207" w:rsidRDefault="00E90E49" w:rsidP="00226A79">
      <w:pPr>
        <w:pStyle w:val="Heading1"/>
      </w:pPr>
      <w:bookmarkStart w:id="0" w:name="_Ref525828561"/>
      <w:r w:rsidRPr="00315C6E">
        <w:t>Introduction</w:t>
      </w:r>
      <w:bookmarkEnd w:id="0"/>
    </w:p>
    <w:p w14:paraId="2FF873FA" w14:textId="7F2FCFED" w:rsidR="00D74F31" w:rsidRDefault="00380D0E" w:rsidP="00380D0E">
      <w:pPr>
        <w:jc w:val="both"/>
      </w:pPr>
      <w:r>
        <w:t>LTE based unlicensed operation</w:t>
      </w:r>
      <w:r w:rsidR="00723279">
        <w:t>s</w:t>
      </w:r>
      <w:r>
        <w:t>, i.e. LAA/</w:t>
      </w:r>
      <w:proofErr w:type="spellStart"/>
      <w:r>
        <w:t>eLAA</w:t>
      </w:r>
      <w:proofErr w:type="spellEnd"/>
      <w:r>
        <w:t>, were</w:t>
      </w:r>
      <w:r w:rsidR="00D74F31">
        <w:t xml:space="preserve"> introduced </w:t>
      </w:r>
      <w:r>
        <w:t xml:space="preserve">starting </w:t>
      </w:r>
      <w:r w:rsidR="00D74F31">
        <w:t>from Rel-13</w:t>
      </w:r>
      <w:r w:rsidR="00D35B4D">
        <w:t xml:space="preserve">. </w:t>
      </w:r>
      <w:r>
        <w:t xml:space="preserve">A Rel-15 study item </w:t>
      </w:r>
      <w:r w:rsidR="00AE6F9E">
        <w:fldChar w:fldCharType="begin"/>
      </w:r>
      <w:r w:rsidR="00AE6F9E">
        <w:instrText xml:space="preserve"> REF _Ref506552387 \r \h </w:instrText>
      </w:r>
      <w:r w:rsidR="00AE6F9E">
        <w:fldChar w:fldCharType="separate"/>
      </w:r>
      <w:r w:rsidR="007F55EC">
        <w:t>[1]</w:t>
      </w:r>
      <w:r w:rsidR="00AE6F9E">
        <w:fldChar w:fldCharType="end"/>
      </w:r>
      <w:r w:rsidR="00AE6F9E">
        <w:t xml:space="preserve"> </w:t>
      </w:r>
      <w:r>
        <w:t xml:space="preserve">on NR-based unlicensed access has been approved to study the solutions applicable to </w:t>
      </w:r>
      <w:r w:rsidR="00A10CD6">
        <w:t xml:space="preserve">potential spectrum candidates both below and above 6Ghz, as well as various deployment scenarios, including CA or DC based and standalone </w:t>
      </w:r>
      <w:r w:rsidR="00723279">
        <w:t xml:space="preserve">based </w:t>
      </w:r>
      <w:r w:rsidR="002557F6">
        <w:t xml:space="preserve">NR </w:t>
      </w:r>
      <w:r w:rsidR="00723279">
        <w:t>unlicensed</w:t>
      </w:r>
      <w:r w:rsidR="00A10CD6">
        <w:t xml:space="preserve"> operations. </w:t>
      </w:r>
      <w:r>
        <w:t xml:space="preserve">  </w:t>
      </w:r>
    </w:p>
    <w:p w14:paraId="4C0625C1" w14:textId="376C4692" w:rsidR="00D0190A" w:rsidRPr="005C1055" w:rsidRDefault="00D74F31" w:rsidP="005C1055">
      <w:pPr>
        <w:overflowPunct w:val="0"/>
        <w:autoSpaceDE w:val="0"/>
        <w:autoSpaceDN w:val="0"/>
        <w:adjustRightInd w:val="0"/>
        <w:jc w:val="both"/>
        <w:textAlignment w:val="baseline"/>
        <w:rPr>
          <w:bCs/>
        </w:rPr>
      </w:pPr>
      <w:r>
        <w:rPr>
          <w:bCs/>
        </w:rPr>
        <w:t xml:space="preserve"> </w:t>
      </w:r>
    </w:p>
    <w:p w14:paraId="3843A709" w14:textId="4AD4BDE3" w:rsidR="00035A85" w:rsidRDefault="00035A85" w:rsidP="00035A85">
      <w:pPr>
        <w:jc w:val="both"/>
      </w:pPr>
      <w:r>
        <w:t>In RAN1 #92bis, it was agreed that</w:t>
      </w:r>
      <w:r w:rsidR="000556C9">
        <w:t xml:space="preserve"> </w:t>
      </w:r>
      <w:r w:rsidR="000556C9">
        <w:fldChar w:fldCharType="begin"/>
      </w:r>
      <w:r w:rsidR="000556C9">
        <w:instrText xml:space="preserve"> REF _Ref513815345 \n \h </w:instrText>
      </w:r>
      <w:r w:rsidR="000556C9">
        <w:fldChar w:fldCharType="separate"/>
      </w:r>
      <w:r w:rsidR="007F55EC">
        <w:t>[2]</w:t>
      </w:r>
      <w:r w:rsidR="000556C9">
        <w:fldChar w:fldCharType="end"/>
      </w:r>
      <w:r>
        <w:t>:</w:t>
      </w:r>
    </w:p>
    <w:p w14:paraId="430241B4" w14:textId="77777777" w:rsidR="000556C9" w:rsidRDefault="000556C9" w:rsidP="000556C9">
      <w:r w:rsidRPr="00DB483B">
        <w:rPr>
          <w:highlight w:val="green"/>
        </w:rPr>
        <w:t>Agreement:</w:t>
      </w:r>
    </w:p>
    <w:p w14:paraId="7D99AE3A" w14:textId="0E502E99" w:rsidR="00532FE6" w:rsidRDefault="00532FE6" w:rsidP="00532FE6">
      <w:pPr>
        <w:widowControl w:val="0"/>
        <w:numPr>
          <w:ilvl w:val="0"/>
          <w:numId w:val="32"/>
        </w:numPr>
        <w:jc w:val="both"/>
      </w:pPr>
      <w:r>
        <w:t xml:space="preserve">Baseline for study: If absence of Wi-Fi cannot be guaranteed (e.g. by regulation) in the band (sub-7 GHz) where NR-U is operating, </w:t>
      </w:r>
      <w:r w:rsidRPr="0039207C">
        <w:t xml:space="preserve">the </w:t>
      </w:r>
      <w:r>
        <w:t xml:space="preserve">NR-U </w:t>
      </w:r>
      <w:r w:rsidRPr="0039207C">
        <w:t xml:space="preserve">operating bandwidth is </w:t>
      </w:r>
      <w:r w:rsidR="001551F9">
        <w:t xml:space="preserve">an integer </w:t>
      </w:r>
      <w:r w:rsidRPr="0039207C">
        <w:t xml:space="preserve">multiple of 20MHz </w:t>
      </w:r>
    </w:p>
    <w:p w14:paraId="0BBDD3DF" w14:textId="77777777" w:rsidR="00532FE6" w:rsidRDefault="00532FE6" w:rsidP="00532FE6">
      <w:pPr>
        <w:widowControl w:val="0"/>
        <w:numPr>
          <w:ilvl w:val="0"/>
          <w:numId w:val="32"/>
        </w:numPr>
        <w:jc w:val="both"/>
      </w:pPr>
      <w:r w:rsidRPr="00113B5C">
        <w:t>At least for band where absence of Wi-Fi cannot be guaranteed (e.g. by regulation), LBT can be performed</w:t>
      </w:r>
      <w:r>
        <w:t xml:space="preserve"> in units of 20 </w:t>
      </w:r>
      <w:proofErr w:type="spellStart"/>
      <w:r>
        <w:t>MHz.</w:t>
      </w:r>
      <w:proofErr w:type="spellEnd"/>
      <w:r>
        <w:t xml:space="preserve"> </w:t>
      </w:r>
    </w:p>
    <w:p w14:paraId="2370F023" w14:textId="41849566" w:rsidR="00532FE6" w:rsidRPr="00085D5D" w:rsidRDefault="00532FE6" w:rsidP="000556C9">
      <w:pPr>
        <w:widowControl w:val="0"/>
        <w:numPr>
          <w:ilvl w:val="1"/>
          <w:numId w:val="32"/>
        </w:numPr>
        <w:jc w:val="both"/>
      </w:pPr>
      <w:r>
        <w:t xml:space="preserve">FFS: details on how to perform LBT for as single carrier with bandwidth greater than 20 MHz, i.e., integer multiples of 20 </w:t>
      </w:r>
      <w:proofErr w:type="spellStart"/>
      <w:r>
        <w:t>MHz.</w:t>
      </w:r>
      <w:proofErr w:type="spellEnd"/>
    </w:p>
    <w:p w14:paraId="3B845917" w14:textId="77777777" w:rsidR="000556C9" w:rsidRDefault="000556C9" w:rsidP="000556C9">
      <w:pPr>
        <w:widowControl w:val="0"/>
        <w:numPr>
          <w:ilvl w:val="0"/>
          <w:numId w:val="32"/>
        </w:numPr>
        <w:jc w:val="both"/>
      </w:pPr>
      <w:r>
        <w:t>Study whether or not the following techniques enhance performance beyond the baseline LBT mechanisms</w:t>
      </w:r>
    </w:p>
    <w:p w14:paraId="5F5A9009" w14:textId="77777777" w:rsidR="000556C9" w:rsidRPr="00590BD9" w:rsidRDefault="000556C9" w:rsidP="000556C9">
      <w:pPr>
        <w:widowControl w:val="0"/>
        <w:numPr>
          <w:ilvl w:val="1"/>
          <w:numId w:val="32"/>
        </w:numPr>
        <w:jc w:val="both"/>
      </w:pPr>
      <w:r>
        <w:t>Techniques to cope with directional antennas/transmissions</w:t>
      </w:r>
    </w:p>
    <w:p w14:paraId="30548A74" w14:textId="77777777" w:rsidR="000556C9" w:rsidRDefault="000556C9" w:rsidP="000556C9">
      <w:pPr>
        <w:widowControl w:val="0"/>
        <w:numPr>
          <w:ilvl w:val="1"/>
          <w:numId w:val="32"/>
        </w:numPr>
        <w:jc w:val="both"/>
      </w:pPr>
      <w:r w:rsidRPr="00936AB5">
        <w:t xml:space="preserve">Receiver assisted </w:t>
      </w:r>
      <w:proofErr w:type="gramStart"/>
      <w:r w:rsidRPr="00936AB5">
        <w:t>LBT :</w:t>
      </w:r>
      <w:proofErr w:type="gramEnd"/>
      <w:r w:rsidRPr="00936AB5">
        <w:t xml:space="preserve"> RTS/CTS type mechanism</w:t>
      </w:r>
    </w:p>
    <w:p w14:paraId="36504E2C" w14:textId="77777777" w:rsidR="000556C9" w:rsidRDefault="000556C9" w:rsidP="000556C9">
      <w:pPr>
        <w:widowControl w:val="0"/>
        <w:numPr>
          <w:ilvl w:val="2"/>
          <w:numId w:val="32"/>
        </w:numPr>
        <w:jc w:val="both"/>
      </w:pPr>
      <w:r w:rsidRPr="0001199A">
        <w:t xml:space="preserve">On-demand </w:t>
      </w:r>
      <w:r>
        <w:t xml:space="preserve">receiver assisted </w:t>
      </w:r>
      <w:r w:rsidRPr="0001199A">
        <w:t>LBT</w:t>
      </w:r>
      <w:r>
        <w:t xml:space="preserve">: For </w:t>
      </w:r>
      <w:proofErr w:type="gramStart"/>
      <w:r>
        <w:t>example</w:t>
      </w:r>
      <w:proofErr w:type="gramEnd"/>
      <w:r>
        <w:t xml:space="preserve"> receiver assisted LBT enabled only when needed </w:t>
      </w:r>
    </w:p>
    <w:p w14:paraId="41D3B325" w14:textId="77777777" w:rsidR="000556C9" w:rsidRPr="00BB19F3" w:rsidRDefault="000556C9" w:rsidP="000556C9">
      <w:pPr>
        <w:widowControl w:val="0"/>
        <w:numPr>
          <w:ilvl w:val="1"/>
          <w:numId w:val="32"/>
        </w:numPr>
        <w:jc w:val="both"/>
      </w:pPr>
      <w:r>
        <w:t xml:space="preserve">Techniques to enhance spatial reuse </w:t>
      </w:r>
    </w:p>
    <w:p w14:paraId="718C5F04" w14:textId="77777777" w:rsidR="000556C9" w:rsidRDefault="000556C9" w:rsidP="000556C9">
      <w:pPr>
        <w:widowControl w:val="0"/>
        <w:numPr>
          <w:ilvl w:val="1"/>
          <w:numId w:val="32"/>
        </w:numPr>
        <w:jc w:val="both"/>
      </w:pPr>
      <w:r>
        <w:t>Preamble detection</w:t>
      </w:r>
    </w:p>
    <w:p w14:paraId="31260EB8" w14:textId="77777777" w:rsidR="000556C9" w:rsidRPr="004B7F1F" w:rsidRDefault="000556C9" w:rsidP="000556C9">
      <w:pPr>
        <w:widowControl w:val="0"/>
        <w:numPr>
          <w:ilvl w:val="1"/>
          <w:numId w:val="32"/>
        </w:numPr>
        <w:jc w:val="both"/>
      </w:pPr>
      <w:r>
        <w:t>Enhancements to baseline LBT mechanisms above 7 GHz</w:t>
      </w:r>
    </w:p>
    <w:p w14:paraId="1C0F82D6" w14:textId="77777777" w:rsidR="000556C9" w:rsidRDefault="000556C9" w:rsidP="000556C9">
      <w:pPr>
        <w:widowControl w:val="0"/>
        <w:numPr>
          <w:ilvl w:val="0"/>
          <w:numId w:val="32"/>
        </w:numPr>
        <w:jc w:val="both"/>
      </w:pPr>
      <w:r>
        <w:t xml:space="preserve">Note: </w:t>
      </w:r>
      <w:r w:rsidRPr="003B3313">
        <w:t>LTE-LAA LBT mechanism are assumed as baseline</w:t>
      </w:r>
      <w:r>
        <w:t xml:space="preserve"> for evaluations for 5GHz. </w:t>
      </w:r>
    </w:p>
    <w:p w14:paraId="238511A2" w14:textId="5FC0F69B" w:rsidR="000556C9" w:rsidRDefault="000556C9" w:rsidP="00035A85">
      <w:pPr>
        <w:widowControl w:val="0"/>
        <w:numPr>
          <w:ilvl w:val="0"/>
          <w:numId w:val="32"/>
        </w:numPr>
        <w:jc w:val="both"/>
      </w:pPr>
      <w:r>
        <w:t>Note: Other aspects are not precluded from being included</w:t>
      </w:r>
    </w:p>
    <w:p w14:paraId="6B65B7A8" w14:textId="77777777" w:rsidR="00035A85" w:rsidRDefault="00035A85" w:rsidP="009A28B6">
      <w:pPr>
        <w:jc w:val="both"/>
      </w:pPr>
    </w:p>
    <w:p w14:paraId="035E1D5C" w14:textId="77777777" w:rsidR="00EF139F" w:rsidRDefault="00EF139F" w:rsidP="009A28B6">
      <w:pPr>
        <w:jc w:val="both"/>
      </w:pPr>
      <w:r>
        <w:t>One critical problem in NR-U design, which has also been extensive discussed, is how the system can dynamically adapt to available channels based on sub-band LBT results. A robust and efficient design should fully utilize existing NR’s ability to support wider carrier bandwidth to fully utilize the available channels, but also achieve good balance with UE’s power consumption, which is also critical to the real adoption and commercialization of the technology.</w:t>
      </w:r>
    </w:p>
    <w:p w14:paraId="4A80D0A5" w14:textId="60CBBEA8" w:rsidR="00EF139F" w:rsidRDefault="00EF139F" w:rsidP="009A28B6">
      <w:pPr>
        <w:jc w:val="both"/>
      </w:pPr>
      <w:r>
        <w:t xml:space="preserve"> </w:t>
      </w:r>
    </w:p>
    <w:p w14:paraId="62C0B106" w14:textId="235522DF" w:rsidR="00AE6F9E" w:rsidRDefault="00AE6F9E" w:rsidP="009A28B6">
      <w:pPr>
        <w:jc w:val="both"/>
      </w:pPr>
      <w:r>
        <w:t>In RAN1 #9</w:t>
      </w:r>
      <w:r w:rsidR="00EF139F">
        <w:t>4bis</w:t>
      </w:r>
      <w:r>
        <w:t xml:space="preserve">, it was further agreed that </w:t>
      </w:r>
    </w:p>
    <w:p w14:paraId="7859D725" w14:textId="77777777" w:rsidR="00250CCE" w:rsidRDefault="00250CCE" w:rsidP="00250CCE">
      <w:pPr>
        <w:rPr>
          <w:lang w:eastAsia="x-none"/>
        </w:rPr>
      </w:pPr>
      <w:r w:rsidRPr="00315984">
        <w:rPr>
          <w:highlight w:val="green"/>
          <w:lang w:eastAsia="x-none"/>
        </w:rPr>
        <w:t>Agreement:</w:t>
      </w:r>
    </w:p>
    <w:p w14:paraId="299FA898" w14:textId="77777777" w:rsidR="00250CCE" w:rsidRDefault="00250CCE" w:rsidP="00250CCE">
      <w:pPr>
        <w:numPr>
          <w:ilvl w:val="0"/>
          <w:numId w:val="36"/>
        </w:numPr>
        <w:rPr>
          <w:lang w:eastAsia="x-none"/>
        </w:rPr>
      </w:pPr>
      <w:r>
        <w:rPr>
          <w:lang w:eastAsia="x-none"/>
        </w:rPr>
        <w:t xml:space="preserve">NR-U should support that a serving cell can be configured with bandwidth larger than 20 </w:t>
      </w:r>
      <w:proofErr w:type="spellStart"/>
      <w:r>
        <w:rPr>
          <w:lang w:eastAsia="x-none"/>
        </w:rPr>
        <w:t>MHz.</w:t>
      </w:r>
      <w:proofErr w:type="spellEnd"/>
    </w:p>
    <w:p w14:paraId="6D139653" w14:textId="77777777" w:rsidR="00250CCE" w:rsidRDefault="00250CCE" w:rsidP="00250CCE">
      <w:pPr>
        <w:numPr>
          <w:ilvl w:val="1"/>
          <w:numId w:val="36"/>
        </w:numPr>
        <w:rPr>
          <w:lang w:eastAsia="x-none"/>
        </w:rPr>
      </w:pPr>
      <w:r>
        <w:rPr>
          <w:lang w:eastAsia="x-none"/>
        </w:rPr>
        <w:t>For DL operation, the following options for BWP-based operation within a carrier with bandwidth larger than 20 MHz can be considered.</w:t>
      </w:r>
    </w:p>
    <w:p w14:paraId="237AD674" w14:textId="77777777" w:rsidR="00250CCE" w:rsidRDefault="00250CCE" w:rsidP="00250CCE">
      <w:pPr>
        <w:numPr>
          <w:ilvl w:val="2"/>
          <w:numId w:val="36"/>
        </w:numPr>
        <w:rPr>
          <w:lang w:eastAsia="x-none"/>
        </w:rPr>
      </w:pPr>
      <w:r>
        <w:rPr>
          <w:lang w:eastAsia="x-none"/>
        </w:rPr>
        <w:lastRenderedPageBreak/>
        <w:t>Option 1a: Multiple BWPs configured, multiple BWPs activated, transmission of PDSCH on one or more BWPs</w:t>
      </w:r>
    </w:p>
    <w:p w14:paraId="3A81F3FC" w14:textId="77777777" w:rsidR="00250CCE" w:rsidRDefault="00250CCE" w:rsidP="00250CCE">
      <w:pPr>
        <w:numPr>
          <w:ilvl w:val="2"/>
          <w:numId w:val="36"/>
        </w:numPr>
        <w:rPr>
          <w:lang w:eastAsia="x-none"/>
        </w:rPr>
      </w:pPr>
      <w:r>
        <w:rPr>
          <w:lang w:eastAsia="x-none"/>
        </w:rPr>
        <w:t>Option 1b: Multiple BWPs configured, multiple BWPs activated, transmission of PDSCH on single BWP</w:t>
      </w:r>
    </w:p>
    <w:p w14:paraId="2679EE34" w14:textId="77777777" w:rsidR="00250CCE" w:rsidRDefault="00250CCE" w:rsidP="00250CCE">
      <w:pPr>
        <w:numPr>
          <w:ilvl w:val="2"/>
          <w:numId w:val="36"/>
        </w:numPr>
        <w:rPr>
          <w:lang w:eastAsia="x-none"/>
        </w:rPr>
      </w:pPr>
      <w:r>
        <w:rPr>
          <w:lang w:eastAsia="x-none"/>
        </w:rPr>
        <w:t xml:space="preserve">Option 2: Multiple BWPs can be configured, single BWP activated, </w:t>
      </w:r>
      <w:proofErr w:type="spellStart"/>
      <w:r>
        <w:rPr>
          <w:lang w:eastAsia="x-none"/>
        </w:rPr>
        <w:t>gNB</w:t>
      </w:r>
      <w:proofErr w:type="spellEnd"/>
      <w:r>
        <w:rPr>
          <w:lang w:eastAsia="x-none"/>
        </w:rPr>
        <w:t xml:space="preserve"> transmits PDSCH on a single BWP if CCA is successful at </w:t>
      </w:r>
      <w:proofErr w:type="spellStart"/>
      <w:r>
        <w:rPr>
          <w:lang w:eastAsia="x-none"/>
        </w:rPr>
        <w:t>gNB</w:t>
      </w:r>
      <w:proofErr w:type="spellEnd"/>
      <w:r>
        <w:rPr>
          <w:lang w:eastAsia="x-none"/>
        </w:rPr>
        <w:t xml:space="preserve"> for the whole BWP</w:t>
      </w:r>
    </w:p>
    <w:p w14:paraId="2EB40AB2" w14:textId="77777777" w:rsidR="00250CCE" w:rsidRDefault="00250CCE" w:rsidP="00250CCE">
      <w:pPr>
        <w:numPr>
          <w:ilvl w:val="2"/>
          <w:numId w:val="36"/>
        </w:numPr>
        <w:rPr>
          <w:lang w:eastAsia="x-none"/>
        </w:rPr>
      </w:pPr>
      <w:r>
        <w:rPr>
          <w:lang w:eastAsia="x-none"/>
        </w:rPr>
        <w:t xml:space="preserve">Option 3: Multiple BWPs can be configured, single BWP activated, </w:t>
      </w:r>
      <w:proofErr w:type="spellStart"/>
      <w:r>
        <w:rPr>
          <w:lang w:eastAsia="x-none"/>
        </w:rPr>
        <w:t>gNB</w:t>
      </w:r>
      <w:proofErr w:type="spellEnd"/>
      <w:r>
        <w:rPr>
          <w:lang w:eastAsia="x-none"/>
        </w:rPr>
        <w:t xml:space="preserve"> transmits PDSCH on parts or whole of single BWP where CCA is successful at </w:t>
      </w:r>
      <w:proofErr w:type="spellStart"/>
      <w:r>
        <w:rPr>
          <w:lang w:eastAsia="x-none"/>
        </w:rPr>
        <w:t>gNB</w:t>
      </w:r>
      <w:proofErr w:type="spellEnd"/>
    </w:p>
    <w:p w14:paraId="4C0B2548" w14:textId="77777777" w:rsidR="00250CCE" w:rsidRDefault="00250CCE" w:rsidP="00250CCE">
      <w:pPr>
        <w:numPr>
          <w:ilvl w:val="1"/>
          <w:numId w:val="36"/>
        </w:numPr>
        <w:rPr>
          <w:lang w:eastAsia="x-none"/>
        </w:rPr>
      </w:pPr>
      <w:r>
        <w:rPr>
          <w:lang w:eastAsia="x-none"/>
        </w:rPr>
        <w:t xml:space="preserve">Note: CCA is declared to be successful or not in multiples of 20 </w:t>
      </w:r>
      <w:proofErr w:type="spellStart"/>
      <w:r>
        <w:rPr>
          <w:lang w:eastAsia="x-none"/>
        </w:rPr>
        <w:t>MHz.</w:t>
      </w:r>
      <w:proofErr w:type="spellEnd"/>
    </w:p>
    <w:p w14:paraId="53E89EB5" w14:textId="77777777" w:rsidR="001C7757" w:rsidRDefault="00250CCE" w:rsidP="001C7757">
      <w:pPr>
        <w:numPr>
          <w:ilvl w:val="1"/>
          <w:numId w:val="36"/>
        </w:numPr>
        <w:rPr>
          <w:lang w:eastAsia="x-none"/>
        </w:rPr>
      </w:pPr>
      <w:r>
        <w:rPr>
          <w:lang w:eastAsia="x-none"/>
        </w:rPr>
        <w:t>FFS for UL operation including some or all of above options can be applied</w:t>
      </w:r>
    </w:p>
    <w:p w14:paraId="58875B58" w14:textId="0C2A7574" w:rsidR="009A4858" w:rsidRDefault="00250CCE" w:rsidP="001C7757">
      <w:pPr>
        <w:numPr>
          <w:ilvl w:val="1"/>
          <w:numId w:val="36"/>
        </w:numPr>
        <w:rPr>
          <w:lang w:eastAsia="x-none"/>
        </w:rPr>
      </w:pPr>
      <w:r>
        <w:rPr>
          <w:lang w:eastAsia="x-none"/>
        </w:rPr>
        <w:t>Note: Capture the following in TR only after further discussion for down-selecting from the options in RAN1#95</w:t>
      </w:r>
    </w:p>
    <w:p w14:paraId="6A3C211E" w14:textId="77777777" w:rsidR="001C7757" w:rsidRDefault="001C7757" w:rsidP="009A28B6">
      <w:pPr>
        <w:jc w:val="both"/>
      </w:pPr>
    </w:p>
    <w:p w14:paraId="0F4CD6E6" w14:textId="662232CA" w:rsidR="00A5758E" w:rsidRDefault="009A28B6" w:rsidP="009A28B6">
      <w:pPr>
        <w:jc w:val="both"/>
      </w:pPr>
      <w:r>
        <w:t>In this contribution, we briefly discuss</w:t>
      </w:r>
      <w:r w:rsidR="00D725CD">
        <w:t xml:space="preserve"> </w:t>
      </w:r>
      <w:r w:rsidR="008D0DD9">
        <w:t>the p</w:t>
      </w:r>
      <w:r w:rsidR="00BE1562">
        <w:t>ossible mechanism</w:t>
      </w:r>
      <w:r w:rsidR="008D0DD9">
        <w:t xml:space="preserve"> of wideband channel access for NR-U</w:t>
      </w:r>
      <w:r w:rsidR="00BE1562">
        <w:t xml:space="preserve"> and </w:t>
      </w:r>
      <w:r w:rsidR="00D725CD">
        <w:t>some potential enhancements for NRU coexistence</w:t>
      </w:r>
      <w:r w:rsidR="00BE1562">
        <w:t xml:space="preserve"> with other RATs, as well as</w:t>
      </w:r>
      <w:r w:rsidR="005C1055">
        <w:t xml:space="preserve"> </w:t>
      </w:r>
      <w:r w:rsidR="001C7757">
        <w:t xml:space="preserve">how to potentially achieve balance between </w:t>
      </w:r>
      <w:r w:rsidR="005C1055">
        <w:t>UE power saving</w:t>
      </w:r>
      <w:r w:rsidR="001C7757">
        <w:t xml:space="preserve"> and wideband channel operation</w:t>
      </w:r>
      <w:r w:rsidR="00D725CD">
        <w:t xml:space="preserve">. </w:t>
      </w:r>
      <w:r w:rsidR="009E7A27">
        <w:t xml:space="preserve">We also discussed the related time domain aspects </w:t>
      </w:r>
      <w:r w:rsidR="006228B5">
        <w:t xml:space="preserve">of NR-U frame structure, specifically from UE monitoring perspective. </w:t>
      </w:r>
    </w:p>
    <w:p w14:paraId="11A99662" w14:textId="77777777" w:rsidR="007C662F" w:rsidRDefault="007C662F" w:rsidP="009A28B6">
      <w:pPr>
        <w:jc w:val="both"/>
      </w:pPr>
    </w:p>
    <w:p w14:paraId="0DE7031E" w14:textId="726F5642" w:rsidR="001551F9" w:rsidRDefault="001551F9" w:rsidP="007C662F">
      <w:pPr>
        <w:pStyle w:val="Heading1"/>
      </w:pPr>
      <w:r>
        <w:t>Wideband operation for NR-U</w:t>
      </w:r>
    </w:p>
    <w:p w14:paraId="35184D18" w14:textId="4FED8528" w:rsidR="001551F9" w:rsidRDefault="001551F9" w:rsidP="004819CF">
      <w:pPr>
        <w:jc w:val="both"/>
      </w:pPr>
      <w:r>
        <w:t xml:space="preserve">As shown in section </w:t>
      </w:r>
      <w:r>
        <w:fldChar w:fldCharType="begin"/>
      </w:r>
      <w:r>
        <w:instrText xml:space="preserve"> REF _Ref525828561 \n \h </w:instrText>
      </w:r>
      <w:r>
        <w:fldChar w:fldCharType="separate"/>
      </w:r>
      <w:r w:rsidR="007F55EC">
        <w:t>1</w:t>
      </w:r>
      <w:r>
        <w:fldChar w:fldCharType="end"/>
      </w:r>
      <w:r w:rsidR="0098201C">
        <w:t>, it has been</w:t>
      </w:r>
      <w:r>
        <w:t xml:space="preserve"> agreed that for bands where absence of Wi-Fi can’t be guaranteed, NR-U </w:t>
      </w:r>
      <w:r w:rsidR="004819CF">
        <w:t xml:space="preserve">operation should support bandwidth in multiple of 20Mhz, and that the LBT can be performed in unit of 20Mhz. This helps fair coexistence with </w:t>
      </w:r>
      <w:r w:rsidR="00C73175">
        <w:t xml:space="preserve">existing </w:t>
      </w:r>
      <w:r w:rsidR="004819CF">
        <w:t>Wi-Fi, where channel occupancy can be in form or 20Mhz, 40Mhz, 80Mhz and 160Mhz as in 802.11ac. In addition, LBT in unit of 20Mhz also allows for higher channel usage efficiency and flexibility</w:t>
      </w:r>
      <w:r w:rsidR="00D91528">
        <w:t xml:space="preserve">, as </w:t>
      </w:r>
      <w:proofErr w:type="spellStart"/>
      <w:r w:rsidR="00D91528">
        <w:t>gNB</w:t>
      </w:r>
      <w:proofErr w:type="spellEnd"/>
      <w:r w:rsidR="00D91528">
        <w:t xml:space="preserve"> may potentially </w:t>
      </w:r>
      <w:r w:rsidR="00057BF1">
        <w:t>have faster access to the available subchannels</w:t>
      </w:r>
      <w:r w:rsidR="00E75D07">
        <w:t xml:space="preserve"> depending on the implementation</w:t>
      </w:r>
      <w:r w:rsidR="004819CF">
        <w:t>.</w:t>
      </w:r>
    </w:p>
    <w:p w14:paraId="4A899720" w14:textId="77777777" w:rsidR="00C73175" w:rsidRDefault="00C73175" w:rsidP="004819CF">
      <w:pPr>
        <w:jc w:val="both"/>
      </w:pPr>
    </w:p>
    <w:p w14:paraId="2FF3FE87" w14:textId="162991CD" w:rsidR="008E1694" w:rsidRDefault="0060374F" w:rsidP="008E1694">
      <w:pPr>
        <w:pStyle w:val="Heading2"/>
      </w:pPr>
      <w:bookmarkStart w:id="1" w:name="_Ref525907811"/>
      <w:r>
        <w:t>B</w:t>
      </w:r>
      <w:r w:rsidR="008E1694">
        <w:t>andwidth adaptation</w:t>
      </w:r>
      <w:r>
        <w:t xml:space="preserve"> with sub-channel LBT</w:t>
      </w:r>
      <w:bookmarkEnd w:id="1"/>
    </w:p>
    <w:p w14:paraId="483785B5" w14:textId="1ACE6B1D" w:rsidR="009511D6" w:rsidRDefault="00EA2E2B" w:rsidP="004819CF">
      <w:pPr>
        <w:jc w:val="both"/>
      </w:pPr>
      <w:r>
        <w:t xml:space="preserve">Implementation </w:t>
      </w:r>
      <w:r w:rsidR="002F5CA6">
        <w:t xml:space="preserve">and challenges </w:t>
      </w:r>
      <w:r>
        <w:t>of wideband operation in NR-U has been extensively discussed in the past meetings</w:t>
      </w:r>
      <w:r w:rsidR="002F5CA6">
        <w:t xml:space="preserve"> (e.g., in</w:t>
      </w:r>
      <w:r w:rsidR="00E04B03">
        <w:t xml:space="preserve"> </w:t>
      </w:r>
      <w:r w:rsidR="00E04B03">
        <w:fldChar w:fldCharType="begin"/>
      </w:r>
      <w:r w:rsidR="00E04B03">
        <w:instrText xml:space="preserve"> REF _Ref525845278 \n \h </w:instrText>
      </w:r>
      <w:r w:rsidR="00E04B03">
        <w:fldChar w:fldCharType="separate"/>
      </w:r>
      <w:r w:rsidR="007F55EC">
        <w:t>[7]</w:t>
      </w:r>
      <w:r w:rsidR="00E04B03">
        <w:fldChar w:fldCharType="end"/>
      </w:r>
      <w:r w:rsidR="00E04B03">
        <w:fldChar w:fldCharType="begin"/>
      </w:r>
      <w:r w:rsidR="00E04B03">
        <w:instrText xml:space="preserve"> REF _Ref525845285 \n \h </w:instrText>
      </w:r>
      <w:r w:rsidR="00E04B03">
        <w:fldChar w:fldCharType="separate"/>
      </w:r>
      <w:r w:rsidR="007F55EC">
        <w:t>[8]</w:t>
      </w:r>
      <w:r w:rsidR="00E04B03">
        <w:fldChar w:fldCharType="end"/>
      </w:r>
      <w:r w:rsidR="002F5CA6">
        <w:t>)</w:t>
      </w:r>
      <w:r w:rsidR="00E04B03">
        <w:t xml:space="preserve">. </w:t>
      </w:r>
      <w:r w:rsidR="002F5CA6">
        <w:t xml:space="preserve">Due </w:t>
      </w:r>
      <w:r w:rsidR="009511D6">
        <w:t xml:space="preserve">to the variations in channel availability in unlicensed spectrum, both </w:t>
      </w:r>
      <w:proofErr w:type="spellStart"/>
      <w:r w:rsidR="009511D6">
        <w:t>gNB</w:t>
      </w:r>
      <w:proofErr w:type="spellEnd"/>
      <w:r w:rsidR="009511D6">
        <w:t xml:space="preserve"> and UE will need to dynamically adapt the operation bandwidth based on LBT results. This dynamic bandwidth adaptation can potentially be achieved using two alternative mechanisms under the existing NR framework:</w:t>
      </w:r>
    </w:p>
    <w:p w14:paraId="2C6F9F34" w14:textId="4CFA9D19" w:rsidR="00EA2E2B" w:rsidRDefault="00637729" w:rsidP="009511D6">
      <w:pPr>
        <w:pStyle w:val="ListParagraph"/>
        <w:numPr>
          <w:ilvl w:val="0"/>
          <w:numId w:val="35"/>
        </w:numPr>
        <w:jc w:val="both"/>
      </w:pPr>
      <w:r>
        <w:t>BWP approach</w:t>
      </w:r>
      <w:r w:rsidR="009511D6">
        <w:t xml:space="preserve">: using BWP switching mechanism to switch between different BWP’s with </w:t>
      </w:r>
      <w:r w:rsidR="00386604">
        <w:t>different BW</w:t>
      </w:r>
    </w:p>
    <w:p w14:paraId="056B5459" w14:textId="3CAC0965" w:rsidR="009511D6" w:rsidRDefault="00637729" w:rsidP="009511D6">
      <w:pPr>
        <w:pStyle w:val="ListParagraph"/>
        <w:numPr>
          <w:ilvl w:val="0"/>
          <w:numId w:val="35"/>
        </w:numPr>
        <w:jc w:val="both"/>
      </w:pPr>
      <w:r>
        <w:t>CA approach</w:t>
      </w:r>
      <w:r w:rsidR="009511D6">
        <w:t xml:space="preserve">: using component carrier activation/deactivation </w:t>
      </w:r>
      <w:r w:rsidR="00386604">
        <w:t>mechanism</w:t>
      </w:r>
    </w:p>
    <w:p w14:paraId="513B5658" w14:textId="77777777" w:rsidR="00EA2E2B" w:rsidRDefault="00EA2E2B" w:rsidP="004819CF">
      <w:pPr>
        <w:jc w:val="both"/>
      </w:pPr>
    </w:p>
    <w:p w14:paraId="19A13CA5" w14:textId="0F0A591A" w:rsidR="00CB3AD7" w:rsidRDefault="00CB3AD7" w:rsidP="004819CF">
      <w:pPr>
        <w:jc w:val="both"/>
      </w:pPr>
      <w:r>
        <w:t>Configuring different 20Mhz sub-channels as independent component carriers to the UE gives the network more flexibility to dynamically expand to wider BW based on channel availability</w:t>
      </w:r>
      <w:r w:rsidR="001A3F21">
        <w:t xml:space="preserve"> regardless whether the available subchannels are contiguous or not</w:t>
      </w:r>
      <w:r>
        <w:t xml:space="preserve">, as UE may use separate RF chains for different carriers. </w:t>
      </w:r>
      <w:r w:rsidR="00637729">
        <w:t xml:space="preserve">The CA approach (as adopted in LAA) will be supported in NR by default. </w:t>
      </w:r>
      <w:r>
        <w:t xml:space="preserve">However, </w:t>
      </w:r>
      <w:r w:rsidR="001A3F21">
        <w:t>this</w:t>
      </w:r>
      <w:r w:rsidR="00637729">
        <w:t xml:space="preserve"> approach</w:t>
      </w:r>
      <w:r w:rsidR="001A3F21">
        <w:t xml:space="preserve"> has implications on HW architecture and availability. In addition, </w:t>
      </w:r>
      <w:r>
        <w:t xml:space="preserve">existing CC activation procedure relies on MAC-CE, which is not be fast enough. It is desirable to support faster CC activation mechanism, e.g., using DCI. </w:t>
      </w:r>
    </w:p>
    <w:p w14:paraId="75BE6D66" w14:textId="77777777" w:rsidR="00CB3AD7" w:rsidRDefault="00CB3AD7" w:rsidP="004819CF">
      <w:pPr>
        <w:jc w:val="both"/>
      </w:pPr>
    </w:p>
    <w:p w14:paraId="15DF2C52" w14:textId="42BACE5A" w:rsidR="00637729" w:rsidRDefault="00C72C91" w:rsidP="004819CF">
      <w:pPr>
        <w:jc w:val="both"/>
      </w:pPr>
      <w:r>
        <w:lastRenderedPageBreak/>
        <w:t>The BWP approach</w:t>
      </w:r>
      <w:r w:rsidR="00A519AE">
        <w:t xml:space="preserve"> </w:t>
      </w:r>
      <w:r>
        <w:t xml:space="preserve">simplifies the </w:t>
      </w:r>
      <w:r w:rsidR="00CE7DD6">
        <w:t xml:space="preserve">UE </w:t>
      </w:r>
      <w:r>
        <w:t>HW architecture, as wider bandwidth (in integer multiples of 20Mhz) is achieved with a</w:t>
      </w:r>
      <w:r w:rsidR="00637729">
        <w:t xml:space="preserve"> single Rx chain</w:t>
      </w:r>
      <w:r>
        <w:t xml:space="preserve">. </w:t>
      </w:r>
      <w:r w:rsidR="001A3F21">
        <w:t>The four candidate options</w:t>
      </w:r>
      <w:r w:rsidR="00D81E64">
        <w:t xml:space="preserve"> as listed in section </w:t>
      </w:r>
      <w:r w:rsidR="00D81E64">
        <w:fldChar w:fldCharType="begin"/>
      </w:r>
      <w:r w:rsidR="00D81E64">
        <w:instrText xml:space="preserve"> REF _Ref525828561 \r \h </w:instrText>
      </w:r>
      <w:r w:rsidR="00D81E64">
        <w:fldChar w:fldCharType="separate"/>
      </w:r>
      <w:r w:rsidR="007F55EC">
        <w:t>1</w:t>
      </w:r>
      <w:r w:rsidR="00D81E64">
        <w:fldChar w:fldCharType="end"/>
      </w:r>
      <w:r w:rsidR="00D81E64">
        <w:t xml:space="preserve"> from RAN1 #94bis discussed different BWP based implementations.</w:t>
      </w:r>
    </w:p>
    <w:p w14:paraId="4B714B0D" w14:textId="196D6C44" w:rsidR="001A3F21" w:rsidRDefault="00637729" w:rsidP="004819CF">
      <w:pPr>
        <w:jc w:val="both"/>
      </w:pPr>
      <w:r>
        <w:t xml:space="preserve"> </w:t>
      </w:r>
    </w:p>
    <w:p w14:paraId="68049EEE" w14:textId="00A450DF" w:rsidR="00C72C91" w:rsidRDefault="00D81E64" w:rsidP="004819CF">
      <w:pPr>
        <w:jc w:val="both"/>
      </w:pPr>
      <w:r>
        <w:t xml:space="preserve">For option 3, </w:t>
      </w:r>
      <w:proofErr w:type="spellStart"/>
      <w:r>
        <w:t>gNB</w:t>
      </w:r>
      <w:proofErr w:type="spellEnd"/>
      <w:r>
        <w:t xml:space="preserve"> can transmit data to UE even only part of the BWP is available</w:t>
      </w:r>
      <w:r w:rsidR="00D204DB">
        <w:t>. For example, UE is monitoring 40Mhz BWP</w:t>
      </w:r>
      <w:r w:rsidR="00E3671B">
        <w:t xml:space="preserve">, </w:t>
      </w:r>
      <w:r w:rsidR="00D204DB">
        <w:t xml:space="preserve">while network may still transmit to the UE on 20Mhz subchannel when the other 20Mhz subchannel is not available. Although this allows more efficient usage of the channel, </w:t>
      </w:r>
      <w:r w:rsidR="00E3671B">
        <w:t>UE might</w:t>
      </w:r>
      <w:r w:rsidR="00CE7DD6">
        <w:t xml:space="preserve"> suffer from </w:t>
      </w:r>
      <w:r w:rsidR="00D204DB">
        <w:t xml:space="preserve">strong </w:t>
      </w:r>
      <w:r w:rsidR="00CE7DD6">
        <w:t>in-band interfer</w:t>
      </w:r>
      <w:r w:rsidR="00E3671B">
        <w:t>er</w:t>
      </w:r>
      <w:r w:rsidR="003F6D27">
        <w:t xml:space="preserve"> </w:t>
      </w:r>
      <w:r w:rsidR="00393588">
        <w:t>inside</w:t>
      </w:r>
      <w:r w:rsidR="003F6D27">
        <w:t xml:space="preserve"> a wideband BWP</w:t>
      </w:r>
      <w:r w:rsidR="00E3671B">
        <w:t>, as shown in</w:t>
      </w:r>
      <w:r w:rsidR="00CE7DD6">
        <w:t xml:space="preserve"> </w:t>
      </w:r>
      <w:r w:rsidR="005B377F">
        <w:fldChar w:fldCharType="begin"/>
      </w:r>
      <w:r w:rsidR="005B377F">
        <w:instrText xml:space="preserve"> REF _Ref525855199 \h </w:instrText>
      </w:r>
      <w:r w:rsidR="005B377F">
        <w:fldChar w:fldCharType="separate"/>
      </w:r>
      <w:r w:rsidR="007F55EC">
        <w:t xml:space="preserve">Figure </w:t>
      </w:r>
      <w:r w:rsidR="007F55EC">
        <w:rPr>
          <w:noProof/>
        </w:rPr>
        <w:t>2</w:t>
      </w:r>
      <w:r w:rsidR="007F55EC">
        <w:noBreakHyphen/>
      </w:r>
      <w:r w:rsidR="007F55EC">
        <w:rPr>
          <w:noProof/>
        </w:rPr>
        <w:t>1</w:t>
      </w:r>
      <w:r w:rsidR="005B377F">
        <w:fldChar w:fldCharType="end"/>
      </w:r>
      <w:r w:rsidR="005B377F">
        <w:t xml:space="preserve"> (a), </w:t>
      </w:r>
      <w:r w:rsidR="00E3671B">
        <w:t>due to the following reasons:</w:t>
      </w:r>
    </w:p>
    <w:p w14:paraId="4F68FFFD" w14:textId="711EE3A0" w:rsidR="003F6D27" w:rsidRDefault="003F6D27" w:rsidP="00E3671B">
      <w:pPr>
        <w:pStyle w:val="ListParagraph"/>
        <w:numPr>
          <w:ilvl w:val="0"/>
          <w:numId w:val="34"/>
        </w:numPr>
        <w:jc w:val="both"/>
      </w:pPr>
      <w:r>
        <w:t xml:space="preserve">The signal from the </w:t>
      </w:r>
      <w:r w:rsidR="00393588">
        <w:t xml:space="preserve">other </w:t>
      </w:r>
      <w:r>
        <w:t xml:space="preserve">occupied sub-channel can </w:t>
      </w:r>
      <w:r w:rsidR="00393588">
        <w:t xml:space="preserve">potentially be </w:t>
      </w:r>
      <w:r>
        <w:t>close to the receiver, injecting strong signal that can de-sense the receiver.</w:t>
      </w:r>
    </w:p>
    <w:p w14:paraId="2B26D828" w14:textId="3E967C7B" w:rsidR="00E3671B" w:rsidRDefault="003F6D27" w:rsidP="00E3671B">
      <w:pPr>
        <w:pStyle w:val="ListParagraph"/>
        <w:numPr>
          <w:ilvl w:val="0"/>
          <w:numId w:val="34"/>
        </w:numPr>
        <w:jc w:val="both"/>
      </w:pPr>
      <w:r>
        <w:t>T</w:t>
      </w:r>
      <w:r w:rsidR="00E3671B">
        <w:t xml:space="preserve">he </w:t>
      </w:r>
      <w:r>
        <w:t xml:space="preserve">signal from the </w:t>
      </w:r>
      <w:r w:rsidR="00393588">
        <w:t xml:space="preserve">other </w:t>
      </w:r>
      <w:r>
        <w:t xml:space="preserve">occupied sub-channel is likely not synchronous or orthogonal to the serving </w:t>
      </w:r>
      <w:proofErr w:type="spellStart"/>
      <w:r>
        <w:t>gNB</w:t>
      </w:r>
      <w:proofErr w:type="spellEnd"/>
      <w:r>
        <w:t>, leading to potential ICI, unless large enough guard tones reserved within the BWP</w:t>
      </w:r>
    </w:p>
    <w:p w14:paraId="669009B2" w14:textId="77777777" w:rsidR="00C72C91" w:rsidRDefault="00C72C91" w:rsidP="004819CF">
      <w:pPr>
        <w:jc w:val="both"/>
      </w:pPr>
    </w:p>
    <w:p w14:paraId="038896CA" w14:textId="6B6122BA" w:rsidR="005B377F" w:rsidRDefault="005B377F" w:rsidP="005B377F">
      <w:pPr>
        <w:jc w:val="center"/>
      </w:pPr>
      <w:r w:rsidRPr="005B377F">
        <w:rPr>
          <w:noProof/>
        </w:rPr>
        <w:drawing>
          <wp:inline distT="0" distB="0" distL="0" distR="0" wp14:anchorId="3CC2FE75" wp14:editId="7ED78DFA">
            <wp:extent cx="4480560" cy="950976"/>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80560" cy="950976"/>
                    </a:xfrm>
                    <a:prstGeom prst="rect">
                      <a:avLst/>
                    </a:prstGeom>
                  </pic:spPr>
                </pic:pic>
              </a:graphicData>
            </a:graphic>
          </wp:inline>
        </w:drawing>
      </w:r>
    </w:p>
    <w:p w14:paraId="2590FB28" w14:textId="6B549DCC" w:rsidR="005B377F" w:rsidRDefault="005B377F" w:rsidP="005B377F">
      <w:pPr>
        <w:pStyle w:val="Caption"/>
      </w:pPr>
      <w:bookmarkStart w:id="2" w:name="_Ref525855199"/>
      <w:r>
        <w:t xml:space="preserve">Figure </w:t>
      </w:r>
      <w:r w:rsidR="002F244B">
        <w:rPr>
          <w:noProof/>
        </w:rPr>
        <w:fldChar w:fldCharType="begin"/>
      </w:r>
      <w:r w:rsidR="002F244B">
        <w:rPr>
          <w:noProof/>
        </w:rPr>
        <w:instrText xml:space="preserve"> STYLEREF 1 \s </w:instrText>
      </w:r>
      <w:r w:rsidR="002F244B">
        <w:rPr>
          <w:noProof/>
        </w:rPr>
        <w:fldChar w:fldCharType="separate"/>
      </w:r>
      <w:r w:rsidR="007F55EC">
        <w:rPr>
          <w:noProof/>
        </w:rPr>
        <w:t>2</w:t>
      </w:r>
      <w:r w:rsidR="002F244B">
        <w:rPr>
          <w:noProof/>
        </w:rPr>
        <w:fldChar w:fldCharType="end"/>
      </w:r>
      <w:r w:rsidR="006F5F1B">
        <w:noBreakHyphen/>
      </w:r>
      <w:r w:rsidR="002F244B">
        <w:rPr>
          <w:noProof/>
        </w:rPr>
        <w:fldChar w:fldCharType="begin"/>
      </w:r>
      <w:r w:rsidR="002F244B">
        <w:rPr>
          <w:noProof/>
        </w:rPr>
        <w:instrText xml:space="preserve"> SEQ Figure \* ARABIC \s 1 </w:instrText>
      </w:r>
      <w:r w:rsidR="002F244B">
        <w:rPr>
          <w:noProof/>
        </w:rPr>
        <w:fldChar w:fldCharType="separate"/>
      </w:r>
      <w:r w:rsidR="007F55EC">
        <w:rPr>
          <w:noProof/>
        </w:rPr>
        <w:t>1</w:t>
      </w:r>
      <w:r w:rsidR="002F244B">
        <w:rPr>
          <w:noProof/>
        </w:rPr>
        <w:fldChar w:fldCharType="end"/>
      </w:r>
      <w:bookmarkEnd w:id="2"/>
      <w:r>
        <w:t xml:space="preserve"> </w:t>
      </w:r>
      <w:proofErr w:type="spellStart"/>
      <w:r>
        <w:t>gNB</w:t>
      </w:r>
      <w:proofErr w:type="spellEnd"/>
      <w:r>
        <w:t xml:space="preserve"> performing sub-channel based LBT</w:t>
      </w:r>
    </w:p>
    <w:p w14:paraId="6733EBBE" w14:textId="0A2E3D8D" w:rsidR="00F93A0F" w:rsidRDefault="00F93A0F" w:rsidP="00F93A0F">
      <w:pPr>
        <w:jc w:val="both"/>
      </w:pPr>
      <w:r>
        <w:t xml:space="preserve">In addition to the de-sense issue, UE </w:t>
      </w:r>
      <w:r w:rsidR="00F26FA2">
        <w:t>reception</w:t>
      </w:r>
      <w:r>
        <w:t xml:space="preserve"> at a wider bandwidth </w:t>
      </w:r>
      <w:r w:rsidR="00F26FA2">
        <w:t xml:space="preserve">BWP </w:t>
      </w:r>
      <w:r>
        <w:t xml:space="preserve">while only part of the active BWP can be used by the </w:t>
      </w:r>
      <w:proofErr w:type="spellStart"/>
      <w:r>
        <w:t>gNB</w:t>
      </w:r>
      <w:proofErr w:type="spellEnd"/>
      <w:r>
        <w:t xml:space="preserve"> is not desirable from UE power saving perspective. </w:t>
      </w:r>
    </w:p>
    <w:p w14:paraId="6DC63032" w14:textId="77777777" w:rsidR="00F93A0F" w:rsidRDefault="00F93A0F" w:rsidP="004819CF">
      <w:pPr>
        <w:jc w:val="both"/>
      </w:pPr>
    </w:p>
    <w:p w14:paraId="61EBCED1" w14:textId="0B85D7FD" w:rsidR="000E0AFB" w:rsidRDefault="00D204DB" w:rsidP="004819CF">
      <w:pPr>
        <w:jc w:val="both"/>
      </w:pPr>
      <w:r>
        <w:t xml:space="preserve">For option 2, this potential </w:t>
      </w:r>
      <w:r w:rsidR="00F93A0F">
        <w:t xml:space="preserve">issue of </w:t>
      </w:r>
      <w:r>
        <w:t xml:space="preserve">in-band interferer is largely avoided, as </w:t>
      </w:r>
      <w:proofErr w:type="spellStart"/>
      <w:r>
        <w:t>gNB</w:t>
      </w:r>
      <w:proofErr w:type="spellEnd"/>
      <w:r>
        <w:t xml:space="preserve"> only transmit to the UE if the </w:t>
      </w:r>
      <w:r w:rsidR="00F93A0F">
        <w:t xml:space="preserve">whole </w:t>
      </w:r>
      <w:r>
        <w:t>BWP monitored by the UE is fully available.</w:t>
      </w:r>
    </w:p>
    <w:p w14:paraId="1FEDE2A9" w14:textId="041D2DB0" w:rsidR="00877A0A" w:rsidRDefault="00877A0A" w:rsidP="004819CF">
      <w:pPr>
        <w:jc w:val="both"/>
      </w:pPr>
    </w:p>
    <w:p w14:paraId="6E6E6691" w14:textId="4810BFBC" w:rsidR="00877A0A" w:rsidRDefault="00877A0A" w:rsidP="004819CF">
      <w:pPr>
        <w:jc w:val="both"/>
      </w:pPr>
      <w:r>
        <w:t>For option 1a/1b, the definition and the corresponding UE behavior and implementation are not clear.</w:t>
      </w:r>
      <w:r w:rsidR="00F93A0F">
        <w:t xml:space="preserve"> For example, does UE use separate Rx chains for the multiple active BWPs? If so, that is essentially CA. If multiple active BWPs are supported on a single Rx chain, then a similar issue of </w:t>
      </w:r>
      <w:r w:rsidR="00F26FA2">
        <w:t xml:space="preserve">receiver de-sense from </w:t>
      </w:r>
      <w:r w:rsidR="00F93A0F">
        <w:t>in-band</w:t>
      </w:r>
      <w:r w:rsidR="00F26FA2">
        <w:t xml:space="preserve"> interferer would occur as with option 3.</w:t>
      </w:r>
    </w:p>
    <w:p w14:paraId="45986889" w14:textId="02EF366D" w:rsidR="00F26FA2" w:rsidRDefault="00F26FA2" w:rsidP="004819CF">
      <w:pPr>
        <w:jc w:val="both"/>
      </w:pPr>
    </w:p>
    <w:p w14:paraId="75C11FA9" w14:textId="61A482A9" w:rsidR="00F26FA2" w:rsidRDefault="00F26FA2" w:rsidP="00F26FA2">
      <w:pPr>
        <w:jc w:val="both"/>
      </w:pPr>
      <w:r w:rsidRPr="00BE70F0">
        <w:rPr>
          <w:b/>
          <w:i/>
          <w:u w:val="single"/>
        </w:rPr>
        <w:t>Proposal 1</w:t>
      </w:r>
      <w:r w:rsidRPr="00BE70F0">
        <w:rPr>
          <w:b/>
          <w:i/>
        </w:rPr>
        <w:t>: NR-U support</w:t>
      </w:r>
      <w:r w:rsidR="000174E2">
        <w:rPr>
          <w:b/>
          <w:i/>
        </w:rPr>
        <w:t>s</w:t>
      </w:r>
      <w:r w:rsidRPr="00BE70F0">
        <w:rPr>
          <w:b/>
          <w:i/>
        </w:rPr>
        <w:t xml:space="preserve"> </w:t>
      </w:r>
      <w:r>
        <w:rPr>
          <w:b/>
          <w:i/>
        </w:rPr>
        <w:t>BWP based wide bandwidth operation using option 2</w:t>
      </w:r>
      <w:r>
        <w:t>.</w:t>
      </w:r>
    </w:p>
    <w:p w14:paraId="2E07A13B" w14:textId="77777777" w:rsidR="00F26FA2" w:rsidRDefault="00F26FA2" w:rsidP="004819CF">
      <w:pPr>
        <w:jc w:val="both"/>
      </w:pPr>
    </w:p>
    <w:p w14:paraId="368F4004" w14:textId="77777777" w:rsidR="008A05D5" w:rsidRDefault="008A05D5" w:rsidP="004819CF">
      <w:pPr>
        <w:jc w:val="both"/>
      </w:pPr>
    </w:p>
    <w:p w14:paraId="0DB73ED6" w14:textId="1E241019" w:rsidR="008E1694" w:rsidRDefault="00877A0A" w:rsidP="008E1694">
      <w:pPr>
        <w:pStyle w:val="Heading2"/>
      </w:pPr>
      <w:r>
        <w:t>Primary s</w:t>
      </w:r>
      <w:r w:rsidR="008E1694">
        <w:t xml:space="preserve">ub-channel monitoring from UE </w:t>
      </w:r>
      <w:r>
        <w:t xml:space="preserve">power saving </w:t>
      </w:r>
      <w:r w:rsidR="008E1694">
        <w:t>perspective</w:t>
      </w:r>
    </w:p>
    <w:p w14:paraId="4B474569" w14:textId="2D2B443A" w:rsidR="00B87BC5" w:rsidRDefault="008A05D5" w:rsidP="004819CF">
      <w:pPr>
        <w:jc w:val="both"/>
      </w:pPr>
      <w:r>
        <w:t xml:space="preserve">From </w:t>
      </w:r>
      <w:proofErr w:type="spellStart"/>
      <w:r>
        <w:t>gNB</w:t>
      </w:r>
      <w:proofErr w:type="spellEnd"/>
      <w:r>
        <w:t xml:space="preserve"> perspective, monitoring wideband channel availability using (20Mhz) sub-band based LBT </w:t>
      </w:r>
      <w:r w:rsidR="008E1694">
        <w:t xml:space="preserve">allows for more efficient channel utilization. However, from UE perspective, keep monitoring the scheduling information across wideband (i.e., multiple sub-channels) can be power consuming. </w:t>
      </w:r>
      <w:r w:rsidR="00E001E0">
        <w:t xml:space="preserve">For example, monitoring a BWP of 40MHz can cost </w:t>
      </w:r>
      <w:r w:rsidR="00B934D5">
        <w:t>40% more power than monitoring 20Mhz subchannel, and monitoring a BWP of 80MHz leads to more than twice the power consumption compared to a monitoring 20Mhz subchannel. Therefore, i</w:t>
      </w:r>
      <w:r w:rsidR="008E1694">
        <w:t>t is desirable that UE only monitors a “</w:t>
      </w:r>
      <w:r w:rsidR="008E1694" w:rsidRPr="008E1694">
        <w:rPr>
          <w:i/>
        </w:rPr>
        <w:t>primary</w:t>
      </w:r>
      <w:r w:rsidR="008E1694">
        <w:t>” sub-channel</w:t>
      </w:r>
      <w:r w:rsidR="00A70BF1">
        <w:t xml:space="preserve"> (e.g., 20MHz)</w:t>
      </w:r>
      <w:r w:rsidR="008E1694">
        <w:t xml:space="preserve">, </w:t>
      </w:r>
      <w:r w:rsidR="00393588">
        <w:t>as</w:t>
      </w:r>
      <w:r w:rsidR="00A70BF1">
        <w:t xml:space="preserve"> configured by the </w:t>
      </w:r>
      <w:proofErr w:type="spellStart"/>
      <w:r w:rsidR="00A70BF1">
        <w:t>gNB</w:t>
      </w:r>
      <w:proofErr w:type="spellEnd"/>
      <w:r w:rsidR="00A70BF1">
        <w:t xml:space="preserve">, and can be changed to wider bandwidth dynamically based on </w:t>
      </w:r>
      <w:proofErr w:type="spellStart"/>
      <w:r w:rsidR="00A70BF1">
        <w:t>gNB</w:t>
      </w:r>
      <w:proofErr w:type="spellEnd"/>
      <w:r w:rsidR="00A70BF1">
        <w:t xml:space="preserve"> LBT results. </w:t>
      </w:r>
    </w:p>
    <w:p w14:paraId="64D59785" w14:textId="77777777" w:rsidR="00B87BC5" w:rsidRDefault="00B87BC5" w:rsidP="004819CF">
      <w:pPr>
        <w:jc w:val="both"/>
      </w:pPr>
    </w:p>
    <w:p w14:paraId="66C398B1" w14:textId="083E9B39" w:rsidR="00A70BF1" w:rsidRDefault="00A70BF1" w:rsidP="004819CF">
      <w:pPr>
        <w:jc w:val="both"/>
      </w:pPr>
      <w:r>
        <w:t>Specifically, this includes the following steps:</w:t>
      </w:r>
    </w:p>
    <w:p w14:paraId="0B5E22D3" w14:textId="3FEBE590" w:rsidR="00A70BF1" w:rsidRDefault="00A70BF1" w:rsidP="00A70BF1">
      <w:pPr>
        <w:pStyle w:val="ListParagraph"/>
        <w:numPr>
          <w:ilvl w:val="0"/>
          <w:numId w:val="35"/>
        </w:numPr>
        <w:jc w:val="both"/>
      </w:pPr>
      <w:proofErr w:type="spellStart"/>
      <w:r>
        <w:t>gNB</w:t>
      </w:r>
      <w:proofErr w:type="spellEnd"/>
      <w:r>
        <w:t xml:space="preserve"> configures a “primary” </w:t>
      </w:r>
      <w:r w:rsidR="00A03AE4">
        <w:t xml:space="preserve">(or default) </w:t>
      </w:r>
      <w:r>
        <w:t xml:space="preserve">sub-channel </w:t>
      </w:r>
      <w:r w:rsidR="001B6441">
        <w:t xml:space="preserve">(e.g., </w:t>
      </w:r>
      <w:r>
        <w:t>20Mhz</w:t>
      </w:r>
      <w:r w:rsidR="001B6441">
        <w:t>)</w:t>
      </w:r>
      <w:r>
        <w:t xml:space="preserve"> for each UE individually</w:t>
      </w:r>
      <w:r w:rsidR="00393588">
        <w:t>.</w:t>
      </w:r>
    </w:p>
    <w:p w14:paraId="0D93FE34" w14:textId="4BC73287" w:rsidR="00A70BF1" w:rsidRDefault="00A70BF1" w:rsidP="00A70BF1">
      <w:pPr>
        <w:pStyle w:val="ListParagraph"/>
        <w:numPr>
          <w:ilvl w:val="0"/>
          <w:numId w:val="35"/>
        </w:numPr>
        <w:jc w:val="both"/>
      </w:pPr>
      <w:r>
        <w:t xml:space="preserve">UE will only monitor on the primary sub-channel for scheduling by the serving </w:t>
      </w:r>
      <w:proofErr w:type="spellStart"/>
      <w:r>
        <w:t>gNB</w:t>
      </w:r>
      <w:proofErr w:type="spellEnd"/>
      <w:r>
        <w:t>.</w:t>
      </w:r>
    </w:p>
    <w:p w14:paraId="4438A2B7" w14:textId="5B8B44AA" w:rsidR="00A70BF1" w:rsidRDefault="00A70BF1" w:rsidP="00A70BF1">
      <w:pPr>
        <w:pStyle w:val="ListParagraph"/>
        <w:numPr>
          <w:ilvl w:val="0"/>
          <w:numId w:val="35"/>
        </w:numPr>
        <w:jc w:val="both"/>
      </w:pPr>
      <w:proofErr w:type="spellStart"/>
      <w:r>
        <w:lastRenderedPageBreak/>
        <w:t>gNB</w:t>
      </w:r>
      <w:proofErr w:type="spellEnd"/>
      <w:r>
        <w:t xml:space="preserve"> always starts scheduling UE on the primary sub-channel, but can </w:t>
      </w:r>
      <w:r w:rsidR="00612611">
        <w:t xml:space="preserve">dynamically </w:t>
      </w:r>
      <w:r>
        <w:t xml:space="preserve">switch/activate wider bandwidth </w:t>
      </w:r>
      <w:r w:rsidR="00612611">
        <w:t xml:space="preserve">for the UE during the </w:t>
      </w:r>
      <w:proofErr w:type="spellStart"/>
      <w:r w:rsidR="00612611">
        <w:t>CoT</w:t>
      </w:r>
      <w:proofErr w:type="spellEnd"/>
      <w:r w:rsidR="00612611">
        <w:t xml:space="preserve">, </w:t>
      </w:r>
      <w:r>
        <w:t>based on LBT</w:t>
      </w:r>
      <w:r w:rsidR="00612611">
        <w:t xml:space="preserve"> results.</w:t>
      </w:r>
    </w:p>
    <w:p w14:paraId="4961E120" w14:textId="77777777" w:rsidR="00C554B8" w:rsidRDefault="00C554B8" w:rsidP="00C554B8">
      <w:pPr>
        <w:jc w:val="both"/>
      </w:pPr>
    </w:p>
    <w:p w14:paraId="6ACA27DF" w14:textId="2EE695F9" w:rsidR="001B6441" w:rsidRDefault="00DC456E" w:rsidP="00C554B8">
      <w:pPr>
        <w:jc w:val="both"/>
      </w:pPr>
      <w:r>
        <w:t>However, to</w:t>
      </w:r>
      <w:r w:rsidR="001B6441">
        <w:t xml:space="preserve"> avoid frequent BW retuning overhead at UE side, during </w:t>
      </w:r>
      <w:r>
        <w:t>extensive</w:t>
      </w:r>
      <w:r w:rsidR="001B6441">
        <w:t xml:space="preserve"> data transaction (e.g. when downloading </w:t>
      </w:r>
      <w:r w:rsidR="00B76814">
        <w:t xml:space="preserve">a </w:t>
      </w:r>
      <w:r w:rsidR="001B6441">
        <w:t xml:space="preserve">large </w:t>
      </w:r>
      <w:r w:rsidR="00B76814">
        <w:t>size file</w:t>
      </w:r>
      <w:r w:rsidR="001B6441">
        <w:t xml:space="preserve">), </w:t>
      </w:r>
      <w:proofErr w:type="spellStart"/>
      <w:r w:rsidR="001B6441">
        <w:t>gNB</w:t>
      </w:r>
      <w:proofErr w:type="spellEnd"/>
      <w:r w:rsidR="001B6441">
        <w:t xml:space="preserve"> can tentatively configure the primary channel of </w:t>
      </w:r>
      <w:r w:rsidR="00B76814">
        <w:t>the</w:t>
      </w:r>
      <w:r w:rsidR="001B6441">
        <w:t xml:space="preserve"> UE to be a larger BW (e.g. 40Mhz, or 80Mhz)</w:t>
      </w:r>
      <w:r w:rsidR="00B76814">
        <w:t>. This way,</w:t>
      </w:r>
      <w:r w:rsidR="001B6441">
        <w:t xml:space="preserve"> the UE doesn’t need to retune </w:t>
      </w:r>
      <w:r w:rsidR="00B76814">
        <w:t xml:space="preserve">its RF </w:t>
      </w:r>
      <w:r w:rsidR="001B6441">
        <w:t xml:space="preserve">BW for every </w:t>
      </w:r>
      <w:proofErr w:type="spellStart"/>
      <w:r w:rsidR="001B6441">
        <w:t>CoT</w:t>
      </w:r>
      <w:proofErr w:type="spellEnd"/>
      <w:r w:rsidR="00B76814">
        <w:t xml:space="preserve"> during the period of extensive data transaction. </w:t>
      </w:r>
    </w:p>
    <w:p w14:paraId="417A05D4" w14:textId="77777777" w:rsidR="00B76814" w:rsidRDefault="00B76814" w:rsidP="00C554B8">
      <w:pPr>
        <w:jc w:val="both"/>
      </w:pPr>
    </w:p>
    <w:p w14:paraId="361F794D" w14:textId="64597F60" w:rsidR="00C554B8" w:rsidRDefault="00C554B8" w:rsidP="00C554B8">
      <w:pPr>
        <w:jc w:val="both"/>
      </w:pPr>
      <w:r>
        <w:t xml:space="preserve">The network can further support low complexity “initial signal” to reduce UE power consumption, as discussed in more details in </w:t>
      </w:r>
      <w:r>
        <w:fldChar w:fldCharType="begin"/>
      </w:r>
      <w:r>
        <w:instrText xml:space="preserve"> REF _Ref510794934 \n \h </w:instrText>
      </w:r>
      <w:r>
        <w:fldChar w:fldCharType="separate"/>
      </w:r>
      <w:r w:rsidR="007F55EC">
        <w:t>[6]</w:t>
      </w:r>
      <w:r>
        <w:fldChar w:fldCharType="end"/>
      </w:r>
      <w:r>
        <w:t>.</w:t>
      </w:r>
    </w:p>
    <w:p w14:paraId="7DCBE9F6" w14:textId="77777777" w:rsidR="00C554B8" w:rsidRDefault="00C554B8" w:rsidP="00C554B8">
      <w:pPr>
        <w:jc w:val="both"/>
      </w:pPr>
    </w:p>
    <w:p w14:paraId="4C2F53F1" w14:textId="740BA528" w:rsidR="00C554B8" w:rsidRDefault="00C554B8" w:rsidP="00C554B8">
      <w:pPr>
        <w:pStyle w:val="Heading3"/>
      </w:pPr>
      <w:r>
        <w:t>BWP based dynamic adaptation to wider BW</w:t>
      </w:r>
    </w:p>
    <w:p w14:paraId="1C68C2EE" w14:textId="2E21AA7C" w:rsidR="007B184B" w:rsidRPr="007B184B" w:rsidRDefault="007B184B" w:rsidP="007B184B">
      <w:r>
        <w:fldChar w:fldCharType="begin"/>
      </w:r>
      <w:r>
        <w:instrText xml:space="preserve"> REF _Ref525897212 \h </w:instrText>
      </w:r>
      <w:r>
        <w:fldChar w:fldCharType="separate"/>
      </w:r>
      <w:r w:rsidR="007F55EC">
        <w:t xml:space="preserve">Figure </w:t>
      </w:r>
      <w:r w:rsidR="007F55EC">
        <w:rPr>
          <w:noProof/>
        </w:rPr>
        <w:t>2</w:t>
      </w:r>
      <w:r w:rsidR="007F55EC">
        <w:noBreakHyphen/>
      </w:r>
      <w:r w:rsidR="007F55EC">
        <w:rPr>
          <w:noProof/>
        </w:rPr>
        <w:t>2</w:t>
      </w:r>
      <w:r>
        <w:fldChar w:fldCharType="end"/>
      </w:r>
      <w:r>
        <w:t xml:space="preserve"> illustrates how the network can incrementally increase the UE BW by changing to wider BWP when more than one sub-channel can be accessed. To further balance the load and have more efficient utilization of different sub-channels, </w:t>
      </w:r>
      <w:proofErr w:type="spellStart"/>
      <w:r>
        <w:t>gNB</w:t>
      </w:r>
      <w:proofErr w:type="spellEnd"/>
      <w:r>
        <w:t xml:space="preserve"> can configure different primary sub-channel to different UEs.</w:t>
      </w:r>
    </w:p>
    <w:p w14:paraId="53CB2875" w14:textId="77777777" w:rsidR="0060374F" w:rsidRDefault="0060374F" w:rsidP="004819CF">
      <w:pPr>
        <w:jc w:val="both"/>
      </w:pPr>
    </w:p>
    <w:p w14:paraId="447B1C7C" w14:textId="7FF7BA62" w:rsidR="009155D0" w:rsidRDefault="00EA36FD" w:rsidP="004819CF">
      <w:pPr>
        <w:jc w:val="both"/>
      </w:pPr>
      <w:r w:rsidRPr="00EA36FD">
        <w:rPr>
          <w:noProof/>
        </w:rPr>
        <w:drawing>
          <wp:inline distT="0" distB="0" distL="0" distR="0" wp14:anchorId="5DB62FE5" wp14:editId="31584C6B">
            <wp:extent cx="5981700" cy="20193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81700" cy="2019300"/>
                    </a:xfrm>
                    <a:prstGeom prst="rect">
                      <a:avLst/>
                    </a:prstGeom>
                  </pic:spPr>
                </pic:pic>
              </a:graphicData>
            </a:graphic>
          </wp:inline>
        </w:drawing>
      </w:r>
    </w:p>
    <w:p w14:paraId="33DBF92E" w14:textId="4FF9BDAD" w:rsidR="0060374F" w:rsidRDefault="009155D0" w:rsidP="009155D0">
      <w:pPr>
        <w:pStyle w:val="Caption"/>
      </w:pPr>
      <w:bookmarkStart w:id="3" w:name="_Ref525897212"/>
      <w:r>
        <w:t xml:space="preserve">Figure </w:t>
      </w:r>
      <w:r w:rsidR="002F244B">
        <w:rPr>
          <w:noProof/>
        </w:rPr>
        <w:fldChar w:fldCharType="begin"/>
      </w:r>
      <w:r w:rsidR="002F244B">
        <w:rPr>
          <w:noProof/>
        </w:rPr>
        <w:instrText xml:space="preserve"> STYLEREF 1 \s </w:instrText>
      </w:r>
      <w:r w:rsidR="002F244B">
        <w:rPr>
          <w:noProof/>
        </w:rPr>
        <w:fldChar w:fldCharType="separate"/>
      </w:r>
      <w:r w:rsidR="007F55EC">
        <w:rPr>
          <w:noProof/>
        </w:rPr>
        <w:t>2</w:t>
      </w:r>
      <w:r w:rsidR="002F244B">
        <w:rPr>
          <w:noProof/>
        </w:rPr>
        <w:fldChar w:fldCharType="end"/>
      </w:r>
      <w:r w:rsidR="006F5F1B">
        <w:noBreakHyphen/>
      </w:r>
      <w:r w:rsidR="002F244B">
        <w:rPr>
          <w:noProof/>
        </w:rPr>
        <w:fldChar w:fldCharType="begin"/>
      </w:r>
      <w:r w:rsidR="002F244B">
        <w:rPr>
          <w:noProof/>
        </w:rPr>
        <w:instrText xml:space="preserve"> SEQ Figure \* ARABIC \s 1 </w:instrText>
      </w:r>
      <w:r w:rsidR="002F244B">
        <w:rPr>
          <w:noProof/>
        </w:rPr>
        <w:fldChar w:fldCharType="separate"/>
      </w:r>
      <w:r w:rsidR="007F55EC">
        <w:rPr>
          <w:noProof/>
        </w:rPr>
        <w:t>2</w:t>
      </w:r>
      <w:r w:rsidR="002F244B">
        <w:rPr>
          <w:noProof/>
        </w:rPr>
        <w:fldChar w:fldCharType="end"/>
      </w:r>
      <w:bookmarkEnd w:id="3"/>
      <w:r w:rsidR="0060374F">
        <w:t xml:space="preserve"> </w:t>
      </w:r>
      <w:r w:rsidR="00EA36FD">
        <w:t>UE sub-band monitoring</w:t>
      </w:r>
      <w:r w:rsidR="00A33967">
        <w:t xml:space="preserve"> and wider bandwidth BWP switching</w:t>
      </w:r>
    </w:p>
    <w:p w14:paraId="1D8809B6" w14:textId="63E2916F" w:rsidR="00E03FCF" w:rsidRDefault="00A33967" w:rsidP="004819CF">
      <w:pPr>
        <w:jc w:val="both"/>
      </w:pPr>
      <w:r>
        <w:t xml:space="preserve">For dynamic bandwidth adaptation using BWP mechanism, network should use contiguous sub-channels. Further, for fair coexistence with other NR-U network or RATs (e.g. 802.11ac), it is also desirable to adopt certain multi-channel bonding rules, as shown in </w:t>
      </w:r>
      <w:r w:rsidR="007B184B">
        <w:fldChar w:fldCharType="begin"/>
      </w:r>
      <w:r w:rsidR="007B184B">
        <w:instrText xml:space="preserve"> REF _Ref525896902 \h </w:instrText>
      </w:r>
      <w:r w:rsidR="007B184B">
        <w:fldChar w:fldCharType="separate"/>
      </w:r>
      <w:r w:rsidR="007F55EC">
        <w:t xml:space="preserve">Figure </w:t>
      </w:r>
      <w:r w:rsidR="007F55EC">
        <w:rPr>
          <w:noProof/>
        </w:rPr>
        <w:t>2</w:t>
      </w:r>
      <w:r w:rsidR="007F55EC">
        <w:noBreakHyphen/>
      </w:r>
      <w:r w:rsidR="007F55EC">
        <w:rPr>
          <w:noProof/>
        </w:rPr>
        <w:t>3</w:t>
      </w:r>
      <w:r w:rsidR="007B184B">
        <w:fldChar w:fldCharType="end"/>
      </w:r>
    </w:p>
    <w:p w14:paraId="0D652EBB" w14:textId="6B2B0C8B" w:rsidR="00A33967" w:rsidRDefault="00C554B8" w:rsidP="00C554B8">
      <w:pPr>
        <w:jc w:val="center"/>
      </w:pPr>
      <w:r w:rsidRPr="00C554B8">
        <w:rPr>
          <w:noProof/>
        </w:rPr>
        <w:drawing>
          <wp:inline distT="0" distB="0" distL="0" distR="0" wp14:anchorId="6D8D1C2A" wp14:editId="597E7835">
            <wp:extent cx="3200400" cy="1460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00400" cy="1460500"/>
                    </a:xfrm>
                    <a:prstGeom prst="rect">
                      <a:avLst/>
                    </a:prstGeom>
                  </pic:spPr>
                </pic:pic>
              </a:graphicData>
            </a:graphic>
          </wp:inline>
        </w:drawing>
      </w:r>
    </w:p>
    <w:p w14:paraId="587EF6DF" w14:textId="3CA09D28" w:rsidR="006F5F1B" w:rsidRDefault="006F5F1B" w:rsidP="006F5F1B">
      <w:pPr>
        <w:pStyle w:val="Caption"/>
      </w:pPr>
      <w:bookmarkStart w:id="4" w:name="_Ref525896902"/>
      <w:r>
        <w:t xml:space="preserve">Figure </w:t>
      </w:r>
      <w:r w:rsidR="002F244B">
        <w:rPr>
          <w:noProof/>
        </w:rPr>
        <w:fldChar w:fldCharType="begin"/>
      </w:r>
      <w:r w:rsidR="002F244B">
        <w:rPr>
          <w:noProof/>
        </w:rPr>
        <w:instrText xml:space="preserve"> STYLEREF 1 \s </w:instrText>
      </w:r>
      <w:r w:rsidR="002F244B">
        <w:rPr>
          <w:noProof/>
        </w:rPr>
        <w:fldChar w:fldCharType="separate"/>
      </w:r>
      <w:r w:rsidR="007F55EC">
        <w:rPr>
          <w:noProof/>
        </w:rPr>
        <w:t>2</w:t>
      </w:r>
      <w:r w:rsidR="002F244B">
        <w:rPr>
          <w:noProof/>
        </w:rPr>
        <w:fldChar w:fldCharType="end"/>
      </w:r>
      <w:r>
        <w:noBreakHyphen/>
      </w:r>
      <w:r w:rsidR="002F244B">
        <w:rPr>
          <w:noProof/>
        </w:rPr>
        <w:fldChar w:fldCharType="begin"/>
      </w:r>
      <w:r w:rsidR="002F244B">
        <w:rPr>
          <w:noProof/>
        </w:rPr>
        <w:instrText xml:space="preserve"> SEQ Figure \* ARABIC \s 1 </w:instrText>
      </w:r>
      <w:r w:rsidR="002F244B">
        <w:rPr>
          <w:noProof/>
        </w:rPr>
        <w:fldChar w:fldCharType="separate"/>
      </w:r>
      <w:r w:rsidR="007F55EC">
        <w:rPr>
          <w:noProof/>
        </w:rPr>
        <w:t>3</w:t>
      </w:r>
      <w:r w:rsidR="002F244B">
        <w:rPr>
          <w:noProof/>
        </w:rPr>
        <w:fldChar w:fldCharType="end"/>
      </w:r>
      <w:bookmarkEnd w:id="4"/>
      <w:r>
        <w:t xml:space="preserve"> channel bonding rule for BWP </w:t>
      </w:r>
      <w:r w:rsidR="007B184B">
        <w:t>of different bandwidth</w:t>
      </w:r>
    </w:p>
    <w:p w14:paraId="63D67A52" w14:textId="66C48680" w:rsidR="00C554B8" w:rsidRDefault="007B184B" w:rsidP="007B184B">
      <w:pPr>
        <w:jc w:val="both"/>
      </w:pPr>
      <w:r>
        <w:t xml:space="preserve">The channel bonding rule makes two BWPs of the same size either non-overlapping or fully overlapping, and can avoid the situation where a single BWP blocking 2 other BWPs with same size (e.g. partial overlapping with both 2 BWPs). </w:t>
      </w:r>
    </w:p>
    <w:p w14:paraId="6DA892E1" w14:textId="77777777" w:rsidR="007B184B" w:rsidRDefault="007B184B" w:rsidP="00C554B8">
      <w:pPr>
        <w:jc w:val="center"/>
      </w:pPr>
    </w:p>
    <w:p w14:paraId="369B6DCE" w14:textId="3C646686" w:rsidR="000E0AFB" w:rsidRDefault="000E7DD7" w:rsidP="00C554B8">
      <w:pPr>
        <w:pStyle w:val="Heading3"/>
      </w:pPr>
      <w:r>
        <w:lastRenderedPageBreak/>
        <w:t>Component carrier</w:t>
      </w:r>
      <w:r w:rsidR="00C554B8">
        <w:t xml:space="preserve"> based dynamic adaptation to wider BW</w:t>
      </w:r>
    </w:p>
    <w:p w14:paraId="26241F65" w14:textId="168421D5" w:rsidR="00CC0093" w:rsidRDefault="001B0D7B" w:rsidP="00BC0383">
      <w:pPr>
        <w:jc w:val="both"/>
      </w:pPr>
      <w:r>
        <w:t>Carrier aggregation-based BW adaptation is generally more flexible, as each sub-channel can be activated or deactivated independently. For the case</w:t>
      </w:r>
      <w:r w:rsidR="00BC0383">
        <w:t xml:space="preserve"> of non-contiguous sub-channels,</w:t>
      </w:r>
      <w:r>
        <w:t xml:space="preserve"> as shown in </w:t>
      </w:r>
      <w:r>
        <w:fldChar w:fldCharType="begin"/>
      </w:r>
      <w:r>
        <w:instrText xml:space="preserve"> REF _Ref525855199 \h </w:instrText>
      </w:r>
      <w:r>
        <w:fldChar w:fldCharType="separate"/>
      </w:r>
      <w:r w:rsidR="007F55EC">
        <w:t xml:space="preserve">Figure </w:t>
      </w:r>
      <w:r w:rsidR="007F55EC">
        <w:rPr>
          <w:noProof/>
        </w:rPr>
        <w:t>2</w:t>
      </w:r>
      <w:r w:rsidR="007F55EC">
        <w:noBreakHyphen/>
      </w:r>
      <w:r w:rsidR="007F55EC">
        <w:rPr>
          <w:noProof/>
        </w:rPr>
        <w:t>1</w:t>
      </w:r>
      <w:r>
        <w:fldChar w:fldCharType="end"/>
      </w:r>
      <w:r>
        <w:t xml:space="preserve"> (a), the UE may use different RF chains to </w:t>
      </w:r>
      <w:r w:rsidR="00BC0383">
        <w:t>achieve wider BW and avoid potential in band jamming/interference discussed</w:t>
      </w:r>
      <w:r>
        <w:t xml:space="preserve"> </w:t>
      </w:r>
      <w:r w:rsidR="00BC0383">
        <w:t xml:space="preserve">in section </w:t>
      </w:r>
      <w:r w:rsidR="00BC0383">
        <w:fldChar w:fldCharType="begin"/>
      </w:r>
      <w:r w:rsidR="00BC0383">
        <w:instrText xml:space="preserve"> REF _Ref525907811 \n \h </w:instrText>
      </w:r>
      <w:r w:rsidR="00BC0383">
        <w:fldChar w:fldCharType="separate"/>
      </w:r>
      <w:r w:rsidR="007F55EC">
        <w:t>2.1</w:t>
      </w:r>
      <w:r w:rsidR="00BC0383">
        <w:fldChar w:fldCharType="end"/>
      </w:r>
      <w:r w:rsidR="00BC0383">
        <w:t>.</w:t>
      </w:r>
    </w:p>
    <w:p w14:paraId="08B32C87" w14:textId="77777777" w:rsidR="00BC0383" w:rsidRDefault="00BC0383" w:rsidP="00CC0093"/>
    <w:p w14:paraId="4966C40F" w14:textId="2832B2B1" w:rsidR="00BC0383" w:rsidRDefault="00BC0383" w:rsidP="00BC0383">
      <w:pPr>
        <w:jc w:val="both"/>
      </w:pPr>
      <w:r>
        <w:t>A common challenge for both the BWP based and CA based BW adaptation is the required RF retuning time, either to retuning the center frequency of BWP or to</w:t>
      </w:r>
      <w:r w:rsidR="00075FC5">
        <w:t xml:space="preserve"> activate a new carrier, which is generally on the order of several hundred micro seconds. During such a transition time, the channel availability could potentially change and a new LBT may be needed by the </w:t>
      </w:r>
      <w:proofErr w:type="spellStart"/>
      <w:r w:rsidR="00075FC5">
        <w:t>gNB</w:t>
      </w:r>
      <w:proofErr w:type="spellEnd"/>
      <w:r w:rsidR="00075FC5">
        <w:t xml:space="preserve">. One possible solution is to let </w:t>
      </w:r>
      <w:proofErr w:type="spellStart"/>
      <w:r w:rsidR="00075FC5">
        <w:t>gNB</w:t>
      </w:r>
      <w:proofErr w:type="spellEnd"/>
      <w:r w:rsidR="00075FC5">
        <w:t xml:space="preserve"> send reservation signal before the UE is ready to receive on the new sub-channels. </w:t>
      </w:r>
    </w:p>
    <w:p w14:paraId="16C35FFB" w14:textId="77777777" w:rsidR="00A519AE" w:rsidRDefault="00A519AE" w:rsidP="004819CF">
      <w:pPr>
        <w:jc w:val="both"/>
      </w:pPr>
    </w:p>
    <w:p w14:paraId="29E305A4" w14:textId="61F3A869" w:rsidR="00932233" w:rsidRPr="00BE70F0" w:rsidRDefault="00932233" w:rsidP="004819CF">
      <w:pPr>
        <w:jc w:val="both"/>
        <w:rPr>
          <w:b/>
          <w:i/>
        </w:rPr>
      </w:pPr>
      <w:r w:rsidRPr="00BE70F0">
        <w:rPr>
          <w:b/>
          <w:i/>
          <w:u w:val="single"/>
        </w:rPr>
        <w:t>Observation 1</w:t>
      </w:r>
      <w:r w:rsidRPr="00BE70F0">
        <w:rPr>
          <w:b/>
          <w:i/>
        </w:rPr>
        <w:t xml:space="preserve">: dynamic BW adaptation in NR-U can be supported by both BWP switching and component carrier activation/deactivation together with sub-channel based LBT at </w:t>
      </w:r>
      <w:proofErr w:type="spellStart"/>
      <w:r w:rsidRPr="00BE70F0">
        <w:rPr>
          <w:b/>
          <w:i/>
        </w:rPr>
        <w:t>gNB</w:t>
      </w:r>
      <w:proofErr w:type="spellEnd"/>
      <w:r w:rsidRPr="00BE70F0">
        <w:rPr>
          <w:b/>
          <w:i/>
        </w:rPr>
        <w:t xml:space="preserve"> side.</w:t>
      </w:r>
    </w:p>
    <w:p w14:paraId="6A33D808" w14:textId="77777777" w:rsidR="00932233" w:rsidRDefault="00932233" w:rsidP="004819CF">
      <w:pPr>
        <w:jc w:val="both"/>
      </w:pPr>
    </w:p>
    <w:p w14:paraId="5B90A780" w14:textId="135468D5" w:rsidR="00932233" w:rsidRDefault="00932233" w:rsidP="004819CF">
      <w:pPr>
        <w:jc w:val="both"/>
      </w:pPr>
      <w:r w:rsidRPr="00BE70F0">
        <w:rPr>
          <w:b/>
          <w:i/>
          <w:u w:val="single"/>
        </w:rPr>
        <w:t xml:space="preserve">Proposal </w:t>
      </w:r>
      <w:r w:rsidR="007658E6">
        <w:rPr>
          <w:b/>
          <w:i/>
          <w:u w:val="single"/>
        </w:rPr>
        <w:t>2</w:t>
      </w:r>
      <w:r w:rsidRPr="00BE70F0">
        <w:rPr>
          <w:b/>
          <w:i/>
        </w:rPr>
        <w:t>: NR-U support</w:t>
      </w:r>
      <w:r w:rsidR="0078790C">
        <w:rPr>
          <w:b/>
          <w:i/>
        </w:rPr>
        <w:t>s</w:t>
      </w:r>
      <w:bookmarkStart w:id="5" w:name="_GoBack"/>
      <w:bookmarkEnd w:id="5"/>
      <w:r w:rsidRPr="00BE70F0">
        <w:rPr>
          <w:b/>
          <w:i/>
        </w:rPr>
        <w:t xml:space="preserve"> narrow band monitoring from UE side, where UE only monitors scheduling information on single “primary” sub-channel configured by the network</w:t>
      </w:r>
      <w:r>
        <w:t>.</w:t>
      </w:r>
    </w:p>
    <w:p w14:paraId="1E1F0F44" w14:textId="77777777" w:rsidR="00932233" w:rsidRDefault="00932233" w:rsidP="004819CF">
      <w:pPr>
        <w:jc w:val="both"/>
      </w:pPr>
    </w:p>
    <w:p w14:paraId="1F8C9C0C" w14:textId="7A702FA6" w:rsidR="00932233" w:rsidRPr="00BE70F0" w:rsidRDefault="00932233" w:rsidP="004819CF">
      <w:pPr>
        <w:jc w:val="both"/>
        <w:rPr>
          <w:b/>
          <w:i/>
        </w:rPr>
      </w:pPr>
      <w:r w:rsidRPr="00BE70F0">
        <w:rPr>
          <w:b/>
          <w:i/>
          <w:u w:val="single"/>
        </w:rPr>
        <w:t xml:space="preserve">Proposal </w:t>
      </w:r>
      <w:r w:rsidR="00EE4271">
        <w:rPr>
          <w:b/>
          <w:i/>
          <w:u w:val="single"/>
        </w:rPr>
        <w:t>3</w:t>
      </w:r>
      <w:r w:rsidRPr="00BE70F0">
        <w:rPr>
          <w:b/>
          <w:i/>
        </w:rPr>
        <w:t>: For dynamic BW adaptation in NR-U using BWP switching, consider introducing sub-channel bonding rule.</w:t>
      </w:r>
    </w:p>
    <w:p w14:paraId="5C6D8CC2" w14:textId="77777777" w:rsidR="00F87DCB" w:rsidRPr="001551F9" w:rsidRDefault="00F87DCB" w:rsidP="004819CF">
      <w:pPr>
        <w:jc w:val="both"/>
      </w:pPr>
    </w:p>
    <w:p w14:paraId="6D498271" w14:textId="5628D461" w:rsidR="006F21A8" w:rsidRDefault="001C7757" w:rsidP="006A1E84">
      <w:pPr>
        <w:pStyle w:val="Heading1"/>
      </w:pPr>
      <w:r>
        <w:t>Time domain aspects</w:t>
      </w:r>
    </w:p>
    <w:p w14:paraId="1924BF6E" w14:textId="73F78675" w:rsidR="00EE4271" w:rsidRDefault="003E52E6" w:rsidP="003E52E6">
      <w:pPr>
        <w:jc w:val="both"/>
      </w:pPr>
      <w:r>
        <w:t xml:space="preserve">One </w:t>
      </w:r>
      <w:r w:rsidR="007D2815">
        <w:t>important design aspect</w:t>
      </w:r>
      <w:r w:rsidR="00EE4271">
        <w:t xml:space="preserve"> that has direct impact on the UE power consumption is the periodicity that UE needs to monitor downlink control channel (i.e., PDCCH)</w:t>
      </w:r>
      <w:r w:rsidR="007D2815">
        <w:t xml:space="preserve">. It was proposed that UE should adapt the PDCCH monitoring periodicities based on </w:t>
      </w:r>
      <w:proofErr w:type="spellStart"/>
      <w:r w:rsidR="007D2815">
        <w:t>CoT</w:t>
      </w:r>
      <w:proofErr w:type="spellEnd"/>
      <w:r w:rsidR="007D2815">
        <w:t xml:space="preserve"> structure</w:t>
      </w:r>
      <w:r w:rsidR="003D7E55">
        <w:t xml:space="preserve"> </w:t>
      </w:r>
      <w:r w:rsidR="003D7E55">
        <w:fldChar w:fldCharType="begin"/>
      </w:r>
      <w:r w:rsidR="003D7E55">
        <w:instrText xml:space="preserve"> REF _Ref528877156 \r \h </w:instrText>
      </w:r>
      <w:r w:rsidR="003D7E55">
        <w:fldChar w:fldCharType="separate"/>
      </w:r>
      <w:r w:rsidR="007F55EC">
        <w:t>[9]</w:t>
      </w:r>
      <w:r w:rsidR="003D7E55">
        <w:fldChar w:fldCharType="end"/>
      </w:r>
      <w:r w:rsidR="003D7E55">
        <w:t xml:space="preserve">. Specifically, it was suggested that UE should monitor PDCCH more often (e.g., at symbol or mini-slot) outside of the serving </w:t>
      </w:r>
      <w:proofErr w:type="spellStart"/>
      <w:r w:rsidR="003D7E55">
        <w:t>gNB’s</w:t>
      </w:r>
      <w:proofErr w:type="spellEnd"/>
      <w:r w:rsidR="003D7E55">
        <w:t xml:space="preserve"> </w:t>
      </w:r>
      <w:proofErr w:type="spellStart"/>
      <w:r w:rsidR="003D7E55">
        <w:t>CoT</w:t>
      </w:r>
      <w:proofErr w:type="spellEnd"/>
      <w:r w:rsidR="003D7E55">
        <w:t xml:space="preserve"> than inside the </w:t>
      </w:r>
      <w:proofErr w:type="spellStart"/>
      <w:r w:rsidR="003D7E55">
        <w:t>gNB’s</w:t>
      </w:r>
      <w:proofErr w:type="spellEnd"/>
      <w:r w:rsidR="003D7E55">
        <w:t xml:space="preserve"> </w:t>
      </w:r>
      <w:proofErr w:type="spellStart"/>
      <w:r w:rsidR="003D7E55">
        <w:t>CoT</w:t>
      </w:r>
      <w:proofErr w:type="spellEnd"/>
      <w:r w:rsidR="003D7E55">
        <w:t>.</w:t>
      </w:r>
    </w:p>
    <w:p w14:paraId="6BCDF931" w14:textId="77777777" w:rsidR="00D31FB3" w:rsidRDefault="00D31FB3" w:rsidP="003E52E6">
      <w:pPr>
        <w:jc w:val="both"/>
      </w:pPr>
    </w:p>
    <w:p w14:paraId="220CF5E6" w14:textId="5F2DD802" w:rsidR="00D31FB3" w:rsidRDefault="00D31FB3" w:rsidP="003E52E6">
      <w:pPr>
        <w:jc w:val="both"/>
      </w:pPr>
      <w:r>
        <w:t>As PDCCH monitoring is generally power consuming, and monitoring PDCCH at symbol or mini-slot level prevents the UE to even enter micro-sleep.</w:t>
      </w:r>
      <w:r w:rsidR="00DF7402">
        <w:t xml:space="preserve"> We believe that in practical scenarios, this is infeasible </w:t>
      </w:r>
      <w:r w:rsidR="004B491D">
        <w:t xml:space="preserve">and unnecessary </w:t>
      </w:r>
      <w:r w:rsidR="00DF7402">
        <w:t xml:space="preserve">for most mobile devices, except </w:t>
      </w:r>
      <w:r w:rsidR="004B491D">
        <w:t xml:space="preserve">for </w:t>
      </w:r>
      <w:r w:rsidR="00DF7402">
        <w:t>limited applications requiring ultra-low latency.</w:t>
      </w:r>
      <w:r w:rsidR="004B491D">
        <w:t xml:space="preserve"> On the other hand, unlicensed spectrum may not always be a desirable solution for </w:t>
      </w:r>
      <w:r w:rsidR="00BC3C8B">
        <w:t>the applications requiring ultra-low latency.</w:t>
      </w:r>
    </w:p>
    <w:p w14:paraId="30A0A555" w14:textId="1DF374FD" w:rsidR="004B491D" w:rsidRDefault="004B491D" w:rsidP="003E52E6">
      <w:pPr>
        <w:jc w:val="both"/>
      </w:pPr>
    </w:p>
    <w:p w14:paraId="1FDBCFD9" w14:textId="166CD245" w:rsidR="004B491D" w:rsidRDefault="00BC3C8B" w:rsidP="003E52E6">
      <w:pPr>
        <w:jc w:val="both"/>
      </w:pPr>
      <w:r>
        <w:t xml:space="preserve">A UE may potentially be able to monitor PDCCH at sub slot level if a low complexity wake-up mechanism (or initial signal) is adopted, which allows the UE to skip most of the PDCCH decoding when there is no grant/scheduling for the UE. </w:t>
      </w:r>
    </w:p>
    <w:p w14:paraId="04ED29A7" w14:textId="77777777" w:rsidR="007D2815" w:rsidRDefault="007D2815" w:rsidP="003E52E6">
      <w:pPr>
        <w:jc w:val="both"/>
      </w:pPr>
    </w:p>
    <w:p w14:paraId="1CB16904" w14:textId="77777777" w:rsidR="003E52E6" w:rsidRDefault="003E52E6" w:rsidP="008D6B29"/>
    <w:p w14:paraId="44EF2AF1" w14:textId="5797C3E1" w:rsidR="00E413B2" w:rsidRPr="00C963BC" w:rsidRDefault="00C963BC" w:rsidP="008D6B29">
      <w:pPr>
        <w:rPr>
          <w:b/>
          <w:i/>
        </w:rPr>
      </w:pPr>
      <w:r w:rsidRPr="00C963BC">
        <w:rPr>
          <w:b/>
          <w:i/>
          <w:u w:val="single"/>
        </w:rPr>
        <w:t xml:space="preserve">Proposal </w:t>
      </w:r>
      <w:r w:rsidR="00DC1023">
        <w:rPr>
          <w:b/>
          <w:i/>
          <w:u w:val="single"/>
        </w:rPr>
        <w:t>4</w:t>
      </w:r>
      <w:r w:rsidRPr="00C963BC">
        <w:rPr>
          <w:b/>
          <w:i/>
        </w:rPr>
        <w:t xml:space="preserve">: </w:t>
      </w:r>
      <w:r w:rsidR="00FE3D51">
        <w:rPr>
          <w:b/>
          <w:i/>
        </w:rPr>
        <w:t>NR</w:t>
      </w:r>
      <w:r w:rsidR="00A659CC">
        <w:rPr>
          <w:b/>
          <w:i/>
        </w:rPr>
        <w:t>-</w:t>
      </w:r>
      <w:r w:rsidR="00FE3D51">
        <w:rPr>
          <w:b/>
          <w:i/>
        </w:rPr>
        <w:t xml:space="preserve">U </w:t>
      </w:r>
      <w:r w:rsidR="00BC3C8B">
        <w:rPr>
          <w:b/>
          <w:i/>
        </w:rPr>
        <w:t xml:space="preserve">devices should not be configured to monitor PDCCH at symbol or </w:t>
      </w:r>
      <w:proofErr w:type="spellStart"/>
      <w:r w:rsidR="00BC3C8B">
        <w:rPr>
          <w:b/>
          <w:i/>
        </w:rPr>
        <w:t>mino</w:t>
      </w:r>
      <w:proofErr w:type="spellEnd"/>
      <w:r w:rsidR="00BC3C8B">
        <w:rPr>
          <w:b/>
          <w:i/>
        </w:rPr>
        <w:t xml:space="preserve">-slot level outside of </w:t>
      </w:r>
      <w:proofErr w:type="spellStart"/>
      <w:r w:rsidR="00BC3C8B">
        <w:rPr>
          <w:b/>
          <w:i/>
        </w:rPr>
        <w:t>CoT</w:t>
      </w:r>
      <w:proofErr w:type="spellEnd"/>
      <w:r w:rsidR="00DC1023">
        <w:rPr>
          <w:b/>
          <w:i/>
        </w:rPr>
        <w:t>, unless low power wake up mechanism (or initial signal) is adopted.</w:t>
      </w:r>
    </w:p>
    <w:p w14:paraId="20B2BA9C" w14:textId="77777777" w:rsidR="006F574B" w:rsidRDefault="006F574B" w:rsidP="006F21A8">
      <w:pPr>
        <w:jc w:val="both"/>
        <w:rPr>
          <w:b/>
          <w:i/>
          <w:sz w:val="20"/>
          <w:szCs w:val="20"/>
        </w:rPr>
      </w:pPr>
    </w:p>
    <w:p w14:paraId="2896E657" w14:textId="38489508" w:rsidR="00854A60" w:rsidRDefault="00CB1432" w:rsidP="00FB330B">
      <w:pPr>
        <w:pStyle w:val="Heading1"/>
      </w:pPr>
      <w:r>
        <w:lastRenderedPageBreak/>
        <w:t>Concl</w:t>
      </w:r>
      <w:r w:rsidR="009C5A97" w:rsidRPr="00FB330B">
        <w:t>usion</w:t>
      </w:r>
      <w:r w:rsidR="004424BC" w:rsidRPr="00FB330B">
        <w:t>s</w:t>
      </w:r>
    </w:p>
    <w:p w14:paraId="5DD07323" w14:textId="69E8AFCF" w:rsidR="00FE3D51" w:rsidRDefault="00FE3D51" w:rsidP="00BE70F0">
      <w:pPr>
        <w:jc w:val="both"/>
      </w:pPr>
      <w:r>
        <w:t xml:space="preserve">In this contribution, we briefly discuss </w:t>
      </w:r>
      <w:r w:rsidR="00BE70F0">
        <w:t xml:space="preserve">how NR-U could achieve dynamic bandwidth adaptation with reduced UE complexity, as well as </w:t>
      </w:r>
      <w:r>
        <w:t xml:space="preserve">a few </w:t>
      </w:r>
      <w:r w:rsidR="00BE70F0">
        <w:t xml:space="preserve">potential enhancements to </w:t>
      </w:r>
      <w:r>
        <w:t xml:space="preserve">NR based unlicensed </w:t>
      </w:r>
      <w:r w:rsidR="00BE70F0">
        <w:t xml:space="preserve">channel </w:t>
      </w:r>
      <w:r>
        <w:t>access. We have the following observation and proposals:</w:t>
      </w:r>
    </w:p>
    <w:p w14:paraId="7314EBED" w14:textId="77777777" w:rsidR="00FE3D51" w:rsidRDefault="00FE3D51" w:rsidP="00FE3D51">
      <w:pPr>
        <w:rPr>
          <w:b/>
          <w:i/>
          <w:color w:val="000000" w:themeColor="text1"/>
        </w:rPr>
      </w:pPr>
    </w:p>
    <w:p w14:paraId="7FDCF137" w14:textId="77777777" w:rsidR="00BE70F0" w:rsidRPr="00BE70F0" w:rsidRDefault="00BE70F0" w:rsidP="00BE70F0">
      <w:pPr>
        <w:jc w:val="both"/>
        <w:rPr>
          <w:b/>
          <w:i/>
        </w:rPr>
      </w:pPr>
      <w:r w:rsidRPr="00BE70F0">
        <w:rPr>
          <w:b/>
          <w:i/>
          <w:u w:val="single"/>
        </w:rPr>
        <w:t>Observation 1</w:t>
      </w:r>
      <w:r w:rsidRPr="00BE70F0">
        <w:rPr>
          <w:b/>
          <w:i/>
        </w:rPr>
        <w:t xml:space="preserve">: dynamic BW adaptation in NR-U can be supported by both BWP switching and component carrier activation/deactivation together with sub-channel based LBT at </w:t>
      </w:r>
      <w:proofErr w:type="spellStart"/>
      <w:r w:rsidRPr="00BE70F0">
        <w:rPr>
          <w:b/>
          <w:i/>
        </w:rPr>
        <w:t>gNB</w:t>
      </w:r>
      <w:proofErr w:type="spellEnd"/>
      <w:r w:rsidRPr="00BE70F0">
        <w:rPr>
          <w:b/>
          <w:i/>
        </w:rPr>
        <w:t xml:space="preserve"> side.</w:t>
      </w:r>
    </w:p>
    <w:p w14:paraId="6826B5AF" w14:textId="77777777" w:rsidR="00BE70F0" w:rsidRDefault="00BE70F0" w:rsidP="00BE70F0">
      <w:pPr>
        <w:jc w:val="both"/>
        <w:rPr>
          <w:b/>
          <w:i/>
          <w:u w:val="single"/>
        </w:rPr>
      </w:pPr>
    </w:p>
    <w:p w14:paraId="1CE17E0D" w14:textId="77777777" w:rsidR="000B0CC1" w:rsidRDefault="000B0CC1" w:rsidP="000B0CC1">
      <w:pPr>
        <w:jc w:val="both"/>
      </w:pPr>
      <w:r w:rsidRPr="00BE70F0">
        <w:rPr>
          <w:b/>
          <w:i/>
          <w:u w:val="single"/>
        </w:rPr>
        <w:t>Proposal 1</w:t>
      </w:r>
      <w:r w:rsidRPr="00BE70F0">
        <w:rPr>
          <w:b/>
          <w:i/>
        </w:rPr>
        <w:t>: NR-U support</w:t>
      </w:r>
      <w:r>
        <w:rPr>
          <w:b/>
          <w:i/>
        </w:rPr>
        <w:t>s</w:t>
      </w:r>
      <w:r w:rsidRPr="00BE70F0">
        <w:rPr>
          <w:b/>
          <w:i/>
        </w:rPr>
        <w:t xml:space="preserve"> </w:t>
      </w:r>
      <w:r>
        <w:rPr>
          <w:b/>
          <w:i/>
        </w:rPr>
        <w:t>BWP based wide bandwidth operation using option 2</w:t>
      </w:r>
      <w:r>
        <w:t>.</w:t>
      </w:r>
    </w:p>
    <w:p w14:paraId="4852CD36" w14:textId="77777777" w:rsidR="000B0CC1" w:rsidRDefault="000B0CC1" w:rsidP="00BE70F0">
      <w:pPr>
        <w:jc w:val="both"/>
        <w:rPr>
          <w:b/>
          <w:i/>
          <w:u w:val="single"/>
        </w:rPr>
      </w:pPr>
    </w:p>
    <w:p w14:paraId="76475389" w14:textId="48B999F7" w:rsidR="000B0CC1" w:rsidRDefault="000B0CC1" w:rsidP="000B0CC1">
      <w:pPr>
        <w:jc w:val="both"/>
      </w:pPr>
      <w:r w:rsidRPr="00BE70F0">
        <w:rPr>
          <w:b/>
          <w:i/>
          <w:u w:val="single"/>
        </w:rPr>
        <w:t xml:space="preserve">Proposal </w:t>
      </w:r>
      <w:r>
        <w:rPr>
          <w:b/>
          <w:i/>
          <w:u w:val="single"/>
        </w:rPr>
        <w:t>2</w:t>
      </w:r>
      <w:r w:rsidRPr="00BE70F0">
        <w:rPr>
          <w:b/>
          <w:i/>
        </w:rPr>
        <w:t>: NR-U support</w:t>
      </w:r>
      <w:r w:rsidR="0078790C">
        <w:rPr>
          <w:b/>
          <w:i/>
        </w:rPr>
        <w:t>s</w:t>
      </w:r>
      <w:r w:rsidRPr="00BE70F0">
        <w:rPr>
          <w:b/>
          <w:i/>
        </w:rPr>
        <w:t xml:space="preserve"> narrow band monitoring from UE side, where UE only monitors scheduling information on single “primary” sub-channel configured by the network</w:t>
      </w:r>
      <w:r>
        <w:t>.</w:t>
      </w:r>
    </w:p>
    <w:p w14:paraId="295C9546" w14:textId="77777777" w:rsidR="000B0CC1" w:rsidRDefault="000B0CC1" w:rsidP="000B0CC1">
      <w:pPr>
        <w:jc w:val="both"/>
      </w:pPr>
    </w:p>
    <w:p w14:paraId="5FD7647C" w14:textId="05AAB8EB" w:rsidR="000B0CC1" w:rsidRDefault="000B0CC1" w:rsidP="000B0CC1">
      <w:pPr>
        <w:jc w:val="both"/>
        <w:rPr>
          <w:b/>
          <w:i/>
        </w:rPr>
      </w:pPr>
      <w:r w:rsidRPr="00BE70F0">
        <w:rPr>
          <w:b/>
          <w:i/>
          <w:u w:val="single"/>
        </w:rPr>
        <w:t xml:space="preserve">Proposal </w:t>
      </w:r>
      <w:r>
        <w:rPr>
          <w:b/>
          <w:i/>
          <w:u w:val="single"/>
        </w:rPr>
        <w:t>3</w:t>
      </w:r>
      <w:r w:rsidRPr="00BE70F0">
        <w:rPr>
          <w:b/>
          <w:i/>
        </w:rPr>
        <w:t>: For dynamic BW adaptation in NR-U using BWP switching, consider introducing sub-channel bonding rule.</w:t>
      </w:r>
    </w:p>
    <w:p w14:paraId="7DC7CEBA" w14:textId="77777777" w:rsidR="000B0CC1" w:rsidRDefault="000B0CC1" w:rsidP="000B0CC1">
      <w:pPr>
        <w:rPr>
          <w:b/>
          <w:i/>
          <w:u w:val="single"/>
        </w:rPr>
      </w:pPr>
    </w:p>
    <w:p w14:paraId="0184C76C" w14:textId="2408B9AC" w:rsidR="000B0CC1" w:rsidRPr="00BE70F0" w:rsidRDefault="000B0CC1" w:rsidP="000B0CC1">
      <w:pPr>
        <w:rPr>
          <w:b/>
          <w:i/>
        </w:rPr>
      </w:pPr>
      <w:r w:rsidRPr="00C963BC">
        <w:rPr>
          <w:b/>
          <w:i/>
          <w:u w:val="single"/>
        </w:rPr>
        <w:t xml:space="preserve">Proposal </w:t>
      </w:r>
      <w:r>
        <w:rPr>
          <w:b/>
          <w:i/>
          <w:u w:val="single"/>
        </w:rPr>
        <w:t>4</w:t>
      </w:r>
      <w:r w:rsidRPr="00C963BC">
        <w:rPr>
          <w:b/>
          <w:i/>
        </w:rPr>
        <w:t xml:space="preserve">: </w:t>
      </w:r>
      <w:r>
        <w:rPr>
          <w:b/>
          <w:i/>
        </w:rPr>
        <w:t xml:space="preserve">NR-U devices should not be configured to monitor PDCCH at symbol or </w:t>
      </w:r>
      <w:proofErr w:type="spellStart"/>
      <w:r>
        <w:rPr>
          <w:b/>
          <w:i/>
        </w:rPr>
        <w:t>mino</w:t>
      </w:r>
      <w:proofErr w:type="spellEnd"/>
      <w:r>
        <w:rPr>
          <w:b/>
          <w:i/>
        </w:rPr>
        <w:t xml:space="preserve">-slot level outside of </w:t>
      </w:r>
      <w:proofErr w:type="spellStart"/>
      <w:r>
        <w:rPr>
          <w:b/>
          <w:i/>
        </w:rPr>
        <w:t>CoT</w:t>
      </w:r>
      <w:proofErr w:type="spellEnd"/>
      <w:r>
        <w:rPr>
          <w:b/>
          <w:i/>
        </w:rPr>
        <w:t>, unless low power wake up mechanism (or initial signal) is adopted.</w:t>
      </w:r>
    </w:p>
    <w:p w14:paraId="6D068700" w14:textId="77777777" w:rsidR="00CD4074" w:rsidRDefault="00CD4074" w:rsidP="0005407B">
      <w:pPr>
        <w:jc w:val="both"/>
        <w:rPr>
          <w:b/>
          <w:sz w:val="20"/>
          <w:szCs w:val="20"/>
        </w:rPr>
      </w:pPr>
    </w:p>
    <w:p w14:paraId="7716D850" w14:textId="47F291FA" w:rsidR="003E0F30" w:rsidRDefault="005C63AE" w:rsidP="00920B5C">
      <w:pPr>
        <w:pStyle w:val="Heading1"/>
      </w:pPr>
      <w:r>
        <w:t>References</w:t>
      </w:r>
    </w:p>
    <w:p w14:paraId="217E5F97" w14:textId="0CF2AB2B" w:rsidR="00280537" w:rsidRPr="000556C9" w:rsidRDefault="00834197"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6" w:name="_Ref506552387"/>
      <w:r>
        <w:rPr>
          <w:sz w:val="20"/>
          <w:szCs w:val="20"/>
        </w:rPr>
        <w:t xml:space="preserve">RP-172021, “Revised SID on NR-based Access to Unlicensed Spectrum”, </w:t>
      </w:r>
      <w:r w:rsidR="00AF7E04">
        <w:rPr>
          <w:sz w:val="20"/>
          <w:szCs w:val="20"/>
        </w:rPr>
        <w:t>3GPP RAN</w:t>
      </w:r>
      <w:r>
        <w:rPr>
          <w:sz w:val="20"/>
          <w:szCs w:val="20"/>
        </w:rPr>
        <w:t xml:space="preserve"> #77</w:t>
      </w:r>
      <w:r w:rsidR="00FF42E9" w:rsidRPr="0015118E">
        <w:rPr>
          <w:sz w:val="20"/>
          <w:szCs w:val="20"/>
        </w:rPr>
        <w:t xml:space="preserve">, </w:t>
      </w:r>
      <w:r>
        <w:rPr>
          <w:sz w:val="20"/>
        </w:rPr>
        <w:t>Sapporo</w:t>
      </w:r>
      <w:r w:rsidR="009948B6" w:rsidRPr="000B1042">
        <w:rPr>
          <w:sz w:val="20"/>
        </w:rPr>
        <w:t>,</w:t>
      </w:r>
      <w:r>
        <w:rPr>
          <w:sz w:val="20"/>
        </w:rPr>
        <w:t xml:space="preserve"> Japan</w:t>
      </w:r>
      <w:r w:rsidR="009948B6" w:rsidRPr="000B1042">
        <w:rPr>
          <w:sz w:val="20"/>
        </w:rPr>
        <w:t xml:space="preserve">, </w:t>
      </w:r>
      <w:r>
        <w:rPr>
          <w:sz w:val="20"/>
        </w:rPr>
        <w:t>11</w:t>
      </w:r>
      <w:r>
        <w:rPr>
          <w:sz w:val="20"/>
          <w:vertAlign w:val="superscript"/>
        </w:rPr>
        <w:t>th</w:t>
      </w:r>
      <w:r w:rsidR="009948B6">
        <w:rPr>
          <w:sz w:val="20"/>
        </w:rPr>
        <w:t xml:space="preserve"> </w:t>
      </w:r>
      <w:r w:rsidR="009948B6" w:rsidRPr="000B1042">
        <w:rPr>
          <w:sz w:val="20"/>
        </w:rPr>
        <w:t xml:space="preserve">– </w:t>
      </w:r>
      <w:r>
        <w:rPr>
          <w:sz w:val="20"/>
        </w:rPr>
        <w:t>14</w:t>
      </w:r>
      <w:r w:rsidR="009948B6" w:rsidRPr="000B1042">
        <w:rPr>
          <w:sz w:val="20"/>
          <w:vertAlign w:val="superscript"/>
        </w:rPr>
        <w:t>th</w:t>
      </w:r>
      <w:r w:rsidR="009948B6" w:rsidRPr="000B1042">
        <w:rPr>
          <w:sz w:val="20"/>
        </w:rPr>
        <w:t xml:space="preserve"> </w:t>
      </w:r>
      <w:r>
        <w:rPr>
          <w:sz w:val="20"/>
        </w:rPr>
        <w:t>September 2017.</w:t>
      </w:r>
      <w:bookmarkEnd w:id="6"/>
    </w:p>
    <w:p w14:paraId="24136584" w14:textId="58F90947" w:rsidR="000556C9" w:rsidRPr="00D533ED" w:rsidRDefault="000556C9"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7" w:name="_Ref513815345"/>
      <w:r>
        <w:rPr>
          <w:sz w:val="20"/>
        </w:rPr>
        <w:t xml:space="preserve">“Chairman’s notes RAN1 92bis final”, 3GPP RAN1 #92bis, </w:t>
      </w:r>
      <w:proofErr w:type="spellStart"/>
      <w:r>
        <w:rPr>
          <w:sz w:val="20"/>
        </w:rPr>
        <w:t>Sanya</w:t>
      </w:r>
      <w:proofErr w:type="spellEnd"/>
      <w:r>
        <w:rPr>
          <w:sz w:val="20"/>
        </w:rPr>
        <w:t>, China, 16</w:t>
      </w:r>
      <w:r w:rsidRPr="000D3138">
        <w:rPr>
          <w:sz w:val="20"/>
          <w:vertAlign w:val="superscript"/>
        </w:rPr>
        <w:t>th</w:t>
      </w:r>
      <w:r>
        <w:rPr>
          <w:sz w:val="20"/>
        </w:rPr>
        <w:t xml:space="preserve"> – 20</w:t>
      </w:r>
      <w:r w:rsidRPr="000D3138">
        <w:rPr>
          <w:sz w:val="20"/>
          <w:vertAlign w:val="superscript"/>
        </w:rPr>
        <w:t>th</w:t>
      </w:r>
      <w:r>
        <w:rPr>
          <w:sz w:val="20"/>
        </w:rPr>
        <w:t>, April, 2018.</w:t>
      </w:r>
      <w:bookmarkEnd w:id="7"/>
    </w:p>
    <w:p w14:paraId="679E1E8A" w14:textId="1D188D7E" w:rsidR="00AE6F9E" w:rsidRPr="00D533ED" w:rsidRDefault="00AE6F9E" w:rsidP="00AE6F9E">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8" w:name="_Ref506468726"/>
      <w:r>
        <w:rPr>
          <w:sz w:val="20"/>
        </w:rPr>
        <w:t>“Chairman’s notes RAN1 9</w:t>
      </w:r>
      <w:r w:rsidR="00413187">
        <w:rPr>
          <w:sz w:val="20"/>
        </w:rPr>
        <w:t>4bis</w:t>
      </w:r>
      <w:r>
        <w:rPr>
          <w:sz w:val="20"/>
        </w:rPr>
        <w:t xml:space="preserve"> final”, 3GPP RAN1 #9</w:t>
      </w:r>
      <w:r w:rsidR="00413187">
        <w:rPr>
          <w:sz w:val="20"/>
        </w:rPr>
        <w:t>4bis</w:t>
      </w:r>
      <w:r>
        <w:rPr>
          <w:sz w:val="20"/>
        </w:rPr>
        <w:t xml:space="preserve">, </w:t>
      </w:r>
      <w:r w:rsidR="00413187">
        <w:rPr>
          <w:sz w:val="20"/>
        </w:rPr>
        <w:t>Chengdu</w:t>
      </w:r>
      <w:r>
        <w:rPr>
          <w:sz w:val="20"/>
        </w:rPr>
        <w:t xml:space="preserve">, </w:t>
      </w:r>
      <w:r w:rsidR="00413187">
        <w:rPr>
          <w:sz w:val="20"/>
        </w:rPr>
        <w:t>China</w:t>
      </w:r>
      <w:r>
        <w:rPr>
          <w:sz w:val="20"/>
        </w:rPr>
        <w:t xml:space="preserve">, </w:t>
      </w:r>
      <w:r w:rsidR="00413187">
        <w:rPr>
          <w:sz w:val="20"/>
        </w:rPr>
        <w:t>8</w:t>
      </w:r>
      <w:r w:rsidR="00413187" w:rsidRPr="00413187">
        <w:rPr>
          <w:sz w:val="20"/>
          <w:vertAlign w:val="superscript"/>
        </w:rPr>
        <w:t>th</w:t>
      </w:r>
      <w:r w:rsidR="00413187">
        <w:rPr>
          <w:sz w:val="20"/>
        </w:rPr>
        <w:t xml:space="preserve"> </w:t>
      </w:r>
      <w:r>
        <w:rPr>
          <w:sz w:val="20"/>
        </w:rPr>
        <w:t xml:space="preserve">– </w:t>
      </w:r>
      <w:r w:rsidR="00413187">
        <w:rPr>
          <w:sz w:val="20"/>
        </w:rPr>
        <w:t>12</w:t>
      </w:r>
      <w:r w:rsidRPr="000D3138">
        <w:rPr>
          <w:sz w:val="20"/>
          <w:vertAlign w:val="superscript"/>
        </w:rPr>
        <w:t>th</w:t>
      </w:r>
      <w:r>
        <w:rPr>
          <w:sz w:val="20"/>
        </w:rPr>
        <w:t xml:space="preserve">, </w:t>
      </w:r>
      <w:r w:rsidR="00413187">
        <w:rPr>
          <w:sz w:val="20"/>
        </w:rPr>
        <w:t>October</w:t>
      </w:r>
      <w:r>
        <w:rPr>
          <w:sz w:val="20"/>
        </w:rPr>
        <w:t>, 2018.</w:t>
      </w:r>
    </w:p>
    <w:p w14:paraId="47CC749D" w14:textId="4E215F4C" w:rsidR="00D533ED" w:rsidRPr="006C5678" w:rsidRDefault="00D533ED"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Pr>
          <w:sz w:val="20"/>
        </w:rPr>
        <w:t>ETSI</w:t>
      </w:r>
      <w:r w:rsidR="006C5678">
        <w:rPr>
          <w:sz w:val="20"/>
        </w:rPr>
        <w:t xml:space="preserve"> EN 301 893, “5GHz RLAN; </w:t>
      </w:r>
      <w:proofErr w:type="spellStart"/>
      <w:r w:rsidR="006C5678">
        <w:rPr>
          <w:sz w:val="20"/>
        </w:rPr>
        <w:t>Harmonised</w:t>
      </w:r>
      <w:proofErr w:type="spellEnd"/>
      <w:r w:rsidR="006C5678">
        <w:rPr>
          <w:sz w:val="20"/>
        </w:rPr>
        <w:t xml:space="preserve"> Standard covering the essential requirements of article 3.2 of Directive 2014/53/EU”</w:t>
      </w:r>
      <w:bookmarkEnd w:id="8"/>
    </w:p>
    <w:p w14:paraId="7151BA9A" w14:textId="73997B3F" w:rsidR="006C5678" w:rsidRDefault="006C5678"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9" w:name="_Ref506468732"/>
      <w:r>
        <w:rPr>
          <w:sz w:val="20"/>
          <w:szCs w:val="20"/>
        </w:rPr>
        <w:t>ETSI EN 302 567, “Multiple-Gigabit radio equipment operating in the 60GHz band”</w:t>
      </w:r>
      <w:bookmarkEnd w:id="9"/>
      <w:r w:rsidR="00C722B1">
        <w:rPr>
          <w:sz w:val="20"/>
          <w:szCs w:val="20"/>
        </w:rPr>
        <w:t>.</w:t>
      </w:r>
    </w:p>
    <w:p w14:paraId="73140E2C" w14:textId="5B6BC56A" w:rsidR="00B00240" w:rsidRDefault="00C722B1" w:rsidP="009A4858">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10" w:name="_Ref510794934"/>
      <w:r>
        <w:rPr>
          <w:sz w:val="20"/>
          <w:szCs w:val="20"/>
        </w:rPr>
        <w:t>R1-18</w:t>
      </w:r>
      <w:r w:rsidR="00BE1562">
        <w:rPr>
          <w:sz w:val="20"/>
          <w:szCs w:val="20"/>
        </w:rPr>
        <w:t>1</w:t>
      </w:r>
      <w:r w:rsidR="00413187">
        <w:rPr>
          <w:sz w:val="20"/>
          <w:szCs w:val="20"/>
        </w:rPr>
        <w:t>2914</w:t>
      </w:r>
      <w:r>
        <w:rPr>
          <w:sz w:val="20"/>
          <w:szCs w:val="20"/>
        </w:rPr>
        <w:t>, “</w:t>
      </w:r>
      <w:r w:rsidR="009A4858">
        <w:rPr>
          <w:sz w:val="20"/>
          <w:szCs w:val="20"/>
        </w:rPr>
        <w:t>On DL signals and</w:t>
      </w:r>
      <w:r>
        <w:rPr>
          <w:sz w:val="20"/>
          <w:szCs w:val="20"/>
        </w:rPr>
        <w:t xml:space="preserve"> channel</w:t>
      </w:r>
      <w:r w:rsidR="009A4858">
        <w:rPr>
          <w:sz w:val="20"/>
          <w:szCs w:val="20"/>
        </w:rPr>
        <w:t>s for NR-U”, Apple Inc., 3GPP RAN1 #9</w:t>
      </w:r>
      <w:r w:rsidR="00413187">
        <w:rPr>
          <w:sz w:val="20"/>
          <w:szCs w:val="20"/>
        </w:rPr>
        <w:t>5</w:t>
      </w:r>
      <w:r>
        <w:rPr>
          <w:sz w:val="20"/>
          <w:szCs w:val="20"/>
        </w:rPr>
        <w:t xml:space="preserve">, </w:t>
      </w:r>
      <w:r w:rsidR="00413187">
        <w:rPr>
          <w:sz w:val="20"/>
          <w:szCs w:val="20"/>
        </w:rPr>
        <w:t>Spokane</w:t>
      </w:r>
      <w:r w:rsidR="00BE1562">
        <w:rPr>
          <w:sz w:val="20"/>
          <w:szCs w:val="20"/>
        </w:rPr>
        <w:t xml:space="preserve">, </w:t>
      </w:r>
      <w:r w:rsidR="00413187">
        <w:rPr>
          <w:sz w:val="20"/>
          <w:szCs w:val="20"/>
        </w:rPr>
        <w:t>USA</w:t>
      </w:r>
      <w:r>
        <w:rPr>
          <w:sz w:val="20"/>
          <w:szCs w:val="20"/>
        </w:rPr>
        <w:t xml:space="preserve">, </w:t>
      </w:r>
      <w:r w:rsidR="00413187">
        <w:rPr>
          <w:sz w:val="20"/>
          <w:szCs w:val="20"/>
        </w:rPr>
        <w:t>12</w:t>
      </w:r>
      <w:r w:rsidRPr="00C722B1">
        <w:rPr>
          <w:sz w:val="20"/>
          <w:szCs w:val="20"/>
          <w:vertAlign w:val="superscript"/>
        </w:rPr>
        <w:t>th</w:t>
      </w:r>
      <w:r>
        <w:rPr>
          <w:sz w:val="20"/>
          <w:szCs w:val="20"/>
        </w:rPr>
        <w:t xml:space="preserve"> – </w:t>
      </w:r>
      <w:r w:rsidR="00BE1562">
        <w:rPr>
          <w:sz w:val="20"/>
          <w:szCs w:val="20"/>
        </w:rPr>
        <w:t>1</w:t>
      </w:r>
      <w:r w:rsidR="00413187">
        <w:rPr>
          <w:sz w:val="20"/>
          <w:szCs w:val="20"/>
        </w:rPr>
        <w:t>6</w:t>
      </w:r>
      <w:r w:rsidRPr="00C722B1">
        <w:rPr>
          <w:sz w:val="20"/>
          <w:szCs w:val="20"/>
          <w:vertAlign w:val="superscript"/>
        </w:rPr>
        <w:t>th</w:t>
      </w:r>
      <w:r w:rsidR="00BE1562">
        <w:rPr>
          <w:sz w:val="20"/>
          <w:szCs w:val="20"/>
        </w:rPr>
        <w:t xml:space="preserve">, </w:t>
      </w:r>
      <w:r w:rsidR="00413187">
        <w:rPr>
          <w:sz w:val="20"/>
          <w:szCs w:val="20"/>
        </w:rPr>
        <w:t>November</w:t>
      </w:r>
      <w:r>
        <w:rPr>
          <w:sz w:val="20"/>
          <w:szCs w:val="20"/>
        </w:rPr>
        <w:t xml:space="preserve"> 2018.</w:t>
      </w:r>
      <w:bookmarkEnd w:id="10"/>
    </w:p>
    <w:p w14:paraId="7F3C18B8" w14:textId="620063C9" w:rsidR="00EA2E2B" w:rsidRDefault="009E03AA" w:rsidP="009A4858">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11" w:name="_Ref525845278"/>
      <w:r>
        <w:rPr>
          <w:sz w:val="20"/>
          <w:szCs w:val="20"/>
        </w:rPr>
        <w:t>R1-1808825, “On wideband operation for NR-U”, Nokia, NSB, 3GPP RAN1 #94, Gothenburg, Sweden, 20</w:t>
      </w:r>
      <w:r w:rsidRPr="00C722B1">
        <w:rPr>
          <w:sz w:val="20"/>
          <w:szCs w:val="20"/>
          <w:vertAlign w:val="superscript"/>
        </w:rPr>
        <w:t>th</w:t>
      </w:r>
      <w:r>
        <w:rPr>
          <w:sz w:val="20"/>
          <w:szCs w:val="20"/>
        </w:rPr>
        <w:t xml:space="preserve"> – 24</w:t>
      </w:r>
      <w:r w:rsidRPr="00C722B1">
        <w:rPr>
          <w:sz w:val="20"/>
          <w:szCs w:val="20"/>
          <w:vertAlign w:val="superscript"/>
        </w:rPr>
        <w:t>th</w:t>
      </w:r>
      <w:r>
        <w:rPr>
          <w:sz w:val="20"/>
          <w:szCs w:val="20"/>
        </w:rPr>
        <w:t>, August 2018</w:t>
      </w:r>
      <w:bookmarkEnd w:id="11"/>
    </w:p>
    <w:p w14:paraId="5F2D730B" w14:textId="46C1E3D1" w:rsidR="009E03AA" w:rsidRDefault="009E03AA" w:rsidP="009E03A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12" w:name="_Ref525845285"/>
      <w:r>
        <w:rPr>
          <w:sz w:val="20"/>
          <w:szCs w:val="20"/>
        </w:rPr>
        <w:t>R1-1808768, “Channel access procedure for NR-U”, Samsung, 3GPP RAN1 #94, Gothenburg, Sweden, 20</w:t>
      </w:r>
      <w:r w:rsidRPr="00C722B1">
        <w:rPr>
          <w:sz w:val="20"/>
          <w:szCs w:val="20"/>
          <w:vertAlign w:val="superscript"/>
        </w:rPr>
        <w:t>th</w:t>
      </w:r>
      <w:r>
        <w:rPr>
          <w:sz w:val="20"/>
          <w:szCs w:val="20"/>
        </w:rPr>
        <w:t xml:space="preserve"> – 24</w:t>
      </w:r>
      <w:r w:rsidRPr="00C722B1">
        <w:rPr>
          <w:sz w:val="20"/>
          <w:szCs w:val="20"/>
          <w:vertAlign w:val="superscript"/>
        </w:rPr>
        <w:t>th</w:t>
      </w:r>
      <w:r>
        <w:rPr>
          <w:sz w:val="20"/>
          <w:szCs w:val="20"/>
        </w:rPr>
        <w:t>, August 2018</w:t>
      </w:r>
      <w:bookmarkEnd w:id="12"/>
    </w:p>
    <w:p w14:paraId="174DB340" w14:textId="495AF025" w:rsidR="003D7E55" w:rsidRPr="009A4858" w:rsidRDefault="003D7E55" w:rsidP="009E03A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13" w:name="_Ref528877156"/>
      <w:r>
        <w:rPr>
          <w:sz w:val="20"/>
          <w:szCs w:val="20"/>
        </w:rPr>
        <w:t>R1-1811877, “7.2.2.2 Summary of frame structure for NR-U”, LG Electronics, 3GPP RAN1 #94bis, Chengdu, China, 8</w:t>
      </w:r>
      <w:r w:rsidRPr="003D7E55">
        <w:rPr>
          <w:sz w:val="20"/>
          <w:szCs w:val="20"/>
          <w:vertAlign w:val="superscript"/>
        </w:rPr>
        <w:t>th</w:t>
      </w:r>
      <w:r>
        <w:rPr>
          <w:sz w:val="20"/>
          <w:szCs w:val="20"/>
        </w:rPr>
        <w:t xml:space="preserve"> – 12</w:t>
      </w:r>
      <w:r w:rsidRPr="003D7E55">
        <w:rPr>
          <w:sz w:val="20"/>
          <w:szCs w:val="20"/>
          <w:vertAlign w:val="superscript"/>
        </w:rPr>
        <w:t>th</w:t>
      </w:r>
      <w:r>
        <w:rPr>
          <w:sz w:val="20"/>
          <w:szCs w:val="20"/>
        </w:rPr>
        <w:t>, October 2018.</w:t>
      </w:r>
      <w:bookmarkEnd w:id="13"/>
    </w:p>
    <w:p w14:paraId="49125400" w14:textId="77777777" w:rsidR="009E03AA" w:rsidRPr="009A4858" w:rsidRDefault="009E03AA" w:rsidP="005D3B49">
      <w:pPr>
        <w:overflowPunct w:val="0"/>
        <w:autoSpaceDE w:val="0"/>
        <w:autoSpaceDN w:val="0"/>
        <w:adjustRightInd w:val="0"/>
        <w:spacing w:before="100" w:beforeAutospacing="1" w:after="100" w:afterAutospacing="1"/>
        <w:ind w:left="562"/>
        <w:textAlignment w:val="baseline"/>
        <w:rPr>
          <w:sz w:val="20"/>
          <w:szCs w:val="20"/>
        </w:rPr>
      </w:pPr>
    </w:p>
    <w:sectPr w:rsidR="009E03AA" w:rsidRPr="009A4858">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E6964" w14:textId="77777777" w:rsidR="00FA0979" w:rsidRDefault="00FA0979">
      <w:r>
        <w:separator/>
      </w:r>
    </w:p>
  </w:endnote>
  <w:endnote w:type="continuationSeparator" w:id="0">
    <w:p w14:paraId="158A6B0E" w14:textId="77777777" w:rsidR="00FA0979" w:rsidRDefault="00FA0979">
      <w:r>
        <w:continuationSeparator/>
      </w:r>
    </w:p>
  </w:endnote>
  <w:endnote w:type="continuationNotice" w:id="1">
    <w:p w14:paraId="114F46CC" w14:textId="77777777" w:rsidR="00FA0979" w:rsidRDefault="00FA09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5F3A27" w:rsidRDefault="005F3A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54DC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4DC3">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42D175" w14:textId="77777777" w:rsidR="00FA0979" w:rsidRDefault="00FA0979">
      <w:r>
        <w:separator/>
      </w:r>
    </w:p>
  </w:footnote>
  <w:footnote w:type="continuationSeparator" w:id="0">
    <w:p w14:paraId="56CF8A0D" w14:textId="77777777" w:rsidR="00FA0979" w:rsidRDefault="00FA0979">
      <w:r>
        <w:continuationSeparator/>
      </w:r>
    </w:p>
  </w:footnote>
  <w:footnote w:type="continuationNotice" w:id="1">
    <w:p w14:paraId="7BAB0472" w14:textId="77777777" w:rsidR="00FA0979" w:rsidRDefault="00FA097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67A22AE"/>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2" w15:restartNumberingAfterBreak="0">
    <w:nsid w:val="00C11B11"/>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B001CD"/>
    <w:multiLevelType w:val="hybridMultilevel"/>
    <w:tmpl w:val="BFFA8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335BFA"/>
    <w:multiLevelType w:val="hybridMultilevel"/>
    <w:tmpl w:val="863881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E4D43"/>
    <w:multiLevelType w:val="hybridMultilevel"/>
    <w:tmpl w:val="B478D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D33492"/>
    <w:multiLevelType w:val="hybridMultilevel"/>
    <w:tmpl w:val="49C0C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967255"/>
    <w:multiLevelType w:val="hybridMultilevel"/>
    <w:tmpl w:val="D4242022"/>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572AE0"/>
    <w:multiLevelType w:val="hybridMultilevel"/>
    <w:tmpl w:val="52645930"/>
    <w:lvl w:ilvl="0" w:tplc="5806777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4B4069"/>
    <w:multiLevelType w:val="hybridMultilevel"/>
    <w:tmpl w:val="EEEA2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8"/>
  </w:num>
  <w:num w:numId="4">
    <w:abstractNumId w:val="19"/>
  </w:num>
  <w:num w:numId="5">
    <w:abstractNumId w:val="12"/>
  </w:num>
  <w:num w:numId="6">
    <w:abstractNumId w:val="21"/>
  </w:num>
  <w:num w:numId="7">
    <w:abstractNumId w:val="27"/>
  </w:num>
  <w:num w:numId="8">
    <w:abstractNumId w:val="13"/>
  </w:num>
  <w:num w:numId="9">
    <w:abstractNumId w:val="24"/>
  </w:num>
  <w:num w:numId="10">
    <w:abstractNumId w:val="15"/>
  </w:num>
  <w:num w:numId="11">
    <w:abstractNumId w:val="14"/>
  </w:num>
  <w:num w:numId="12">
    <w:abstractNumId w:val="28"/>
  </w:num>
  <w:num w:numId="13">
    <w:abstractNumId w:val="8"/>
  </w:num>
  <w:num w:numId="14">
    <w:abstractNumId w:val="1"/>
  </w:num>
  <w:num w:numId="15">
    <w:abstractNumId w:val="5"/>
  </w:num>
  <w:num w:numId="16">
    <w:abstractNumId w:val="32"/>
  </w:num>
  <w:num w:numId="17">
    <w:abstractNumId w:val="4"/>
  </w:num>
  <w:num w:numId="18">
    <w:abstractNumId w:val="0"/>
    <w:lvlOverride w:ilvl="0">
      <w:lvl w:ilvl="0">
        <w:numFmt w:val="bullet"/>
        <w:lvlText w:val="–"/>
        <w:legacy w:legacy="1" w:legacySpace="0" w:legacyIndent="0"/>
        <w:lvlJc w:val="left"/>
        <w:rPr>
          <w:rFonts w:ascii="Arial" w:hAnsi="Arial" w:cs="Arial" w:hint="default"/>
          <w:sz w:val="38"/>
        </w:rPr>
      </w:lvl>
    </w:lvlOverride>
  </w:num>
  <w:num w:numId="19">
    <w:abstractNumId w:val="0"/>
    <w:lvlOverride w:ilvl="0">
      <w:lvl w:ilvl="0">
        <w:numFmt w:val="bullet"/>
        <w:lvlText w:val="•"/>
        <w:legacy w:legacy="1" w:legacySpace="0" w:legacyIndent="0"/>
        <w:lvlJc w:val="left"/>
        <w:rPr>
          <w:rFonts w:ascii="Arial" w:hAnsi="Arial" w:cs="Arial" w:hint="default"/>
          <w:sz w:val="34"/>
        </w:rPr>
      </w:lvl>
    </w:lvlOverride>
  </w:num>
  <w:num w:numId="20">
    <w:abstractNumId w:val="0"/>
    <w:lvlOverride w:ilvl="0">
      <w:lvl w:ilvl="0">
        <w:numFmt w:val="bullet"/>
        <w:lvlText w:val="–"/>
        <w:legacy w:legacy="1" w:legacySpace="0" w:legacyIndent="0"/>
        <w:lvlJc w:val="left"/>
        <w:rPr>
          <w:rFonts w:ascii="Arial" w:hAnsi="Arial" w:cs="Arial" w:hint="default"/>
          <w:sz w:val="34"/>
        </w:rPr>
      </w:lvl>
    </w:lvlOverride>
  </w:num>
  <w:num w:numId="21">
    <w:abstractNumId w:val="0"/>
    <w:lvlOverride w:ilvl="0">
      <w:lvl w:ilvl="0">
        <w:numFmt w:val="bullet"/>
        <w:lvlText w:val="–"/>
        <w:legacy w:legacy="1" w:legacySpace="0" w:legacyIndent="0"/>
        <w:lvlJc w:val="left"/>
        <w:rPr>
          <w:rFonts w:ascii="Arial" w:hAnsi="Arial" w:cs="Arial" w:hint="default"/>
          <w:sz w:val="30"/>
        </w:rPr>
      </w:lvl>
    </w:lvlOverride>
  </w:num>
  <w:num w:numId="22">
    <w:abstractNumId w:val="22"/>
  </w:num>
  <w:num w:numId="23">
    <w:abstractNumId w:val="30"/>
  </w:num>
  <w:num w:numId="24">
    <w:abstractNumId w:val="6"/>
  </w:num>
  <w:num w:numId="25">
    <w:abstractNumId w:val="17"/>
  </w:num>
  <w:num w:numId="26">
    <w:abstractNumId w:val="26"/>
  </w:num>
  <w:num w:numId="27">
    <w:abstractNumId w:val="2"/>
  </w:num>
  <w:num w:numId="28">
    <w:abstractNumId w:val="10"/>
  </w:num>
  <w:num w:numId="29">
    <w:abstractNumId w:val="9"/>
  </w:num>
  <w:num w:numId="30">
    <w:abstractNumId w:val="25"/>
  </w:num>
  <w:num w:numId="31">
    <w:abstractNumId w:val="7"/>
  </w:num>
  <w:num w:numId="32">
    <w:abstractNumId w:val="31"/>
  </w:num>
  <w:num w:numId="33">
    <w:abstractNumId w:val="11"/>
  </w:num>
  <w:num w:numId="34">
    <w:abstractNumId w:val="20"/>
  </w:num>
  <w:num w:numId="35">
    <w:abstractNumId w:val="16"/>
  </w:num>
  <w:num w:numId="36">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ED"/>
    <w:rsid w:val="00001AAC"/>
    <w:rsid w:val="00001DAB"/>
    <w:rsid w:val="00002821"/>
    <w:rsid w:val="00002A37"/>
    <w:rsid w:val="00003514"/>
    <w:rsid w:val="00004BB1"/>
    <w:rsid w:val="00004BE5"/>
    <w:rsid w:val="00006446"/>
    <w:rsid w:val="0000685E"/>
    <w:rsid w:val="00006896"/>
    <w:rsid w:val="00006B58"/>
    <w:rsid w:val="00007198"/>
    <w:rsid w:val="00007CDC"/>
    <w:rsid w:val="00007EF0"/>
    <w:rsid w:val="000102B4"/>
    <w:rsid w:val="0001039D"/>
    <w:rsid w:val="000117C7"/>
    <w:rsid w:val="00011837"/>
    <w:rsid w:val="00011B28"/>
    <w:rsid w:val="00012144"/>
    <w:rsid w:val="000124A7"/>
    <w:rsid w:val="00012594"/>
    <w:rsid w:val="00013762"/>
    <w:rsid w:val="00014220"/>
    <w:rsid w:val="00014D88"/>
    <w:rsid w:val="000155D3"/>
    <w:rsid w:val="00015D15"/>
    <w:rsid w:val="000160B2"/>
    <w:rsid w:val="00016C9A"/>
    <w:rsid w:val="000174E2"/>
    <w:rsid w:val="00017528"/>
    <w:rsid w:val="00017927"/>
    <w:rsid w:val="000202F4"/>
    <w:rsid w:val="000207A2"/>
    <w:rsid w:val="0002093E"/>
    <w:rsid w:val="00021321"/>
    <w:rsid w:val="00023408"/>
    <w:rsid w:val="0002564D"/>
    <w:rsid w:val="00025AC4"/>
    <w:rsid w:val="00025E2F"/>
    <w:rsid w:val="00025ECA"/>
    <w:rsid w:val="000267A1"/>
    <w:rsid w:val="00027218"/>
    <w:rsid w:val="00027939"/>
    <w:rsid w:val="00027988"/>
    <w:rsid w:val="00027BD2"/>
    <w:rsid w:val="0003198A"/>
    <w:rsid w:val="00031A91"/>
    <w:rsid w:val="000325B8"/>
    <w:rsid w:val="00032B6C"/>
    <w:rsid w:val="00033F51"/>
    <w:rsid w:val="0003438B"/>
    <w:rsid w:val="0003476B"/>
    <w:rsid w:val="00034C15"/>
    <w:rsid w:val="00035A85"/>
    <w:rsid w:val="00036BA1"/>
    <w:rsid w:val="00037E0E"/>
    <w:rsid w:val="000404FC"/>
    <w:rsid w:val="00041768"/>
    <w:rsid w:val="00041925"/>
    <w:rsid w:val="000422E2"/>
    <w:rsid w:val="00042F22"/>
    <w:rsid w:val="000444EF"/>
    <w:rsid w:val="00044942"/>
    <w:rsid w:val="00044BF7"/>
    <w:rsid w:val="00045523"/>
    <w:rsid w:val="00045EB6"/>
    <w:rsid w:val="000460EB"/>
    <w:rsid w:val="000468D3"/>
    <w:rsid w:val="00047C44"/>
    <w:rsid w:val="00047D40"/>
    <w:rsid w:val="00050314"/>
    <w:rsid w:val="00050779"/>
    <w:rsid w:val="000508AD"/>
    <w:rsid w:val="000514F9"/>
    <w:rsid w:val="00052A07"/>
    <w:rsid w:val="00052B3B"/>
    <w:rsid w:val="000534E3"/>
    <w:rsid w:val="0005407B"/>
    <w:rsid w:val="00054A5B"/>
    <w:rsid w:val="00054B77"/>
    <w:rsid w:val="00054C1B"/>
    <w:rsid w:val="000556C9"/>
    <w:rsid w:val="00055B95"/>
    <w:rsid w:val="0005606A"/>
    <w:rsid w:val="00057117"/>
    <w:rsid w:val="000576A8"/>
    <w:rsid w:val="00057BF1"/>
    <w:rsid w:val="0006081F"/>
    <w:rsid w:val="000608BD"/>
    <w:rsid w:val="00061485"/>
    <w:rsid w:val="000616E7"/>
    <w:rsid w:val="000626CA"/>
    <w:rsid w:val="0006389C"/>
    <w:rsid w:val="0006487E"/>
    <w:rsid w:val="000650C1"/>
    <w:rsid w:val="00065E1A"/>
    <w:rsid w:val="000668B8"/>
    <w:rsid w:val="00066994"/>
    <w:rsid w:val="00067759"/>
    <w:rsid w:val="000679D1"/>
    <w:rsid w:val="00067C00"/>
    <w:rsid w:val="000707A2"/>
    <w:rsid w:val="000708A3"/>
    <w:rsid w:val="00071F96"/>
    <w:rsid w:val="00075C5D"/>
    <w:rsid w:val="00075FC5"/>
    <w:rsid w:val="00076765"/>
    <w:rsid w:val="0007717C"/>
    <w:rsid w:val="0007722E"/>
    <w:rsid w:val="00077D33"/>
    <w:rsid w:val="00077E5F"/>
    <w:rsid w:val="0008036A"/>
    <w:rsid w:val="0008055F"/>
    <w:rsid w:val="00080878"/>
    <w:rsid w:val="000819CF"/>
    <w:rsid w:val="00081AE6"/>
    <w:rsid w:val="00082E93"/>
    <w:rsid w:val="00083B14"/>
    <w:rsid w:val="00083EC4"/>
    <w:rsid w:val="000840C3"/>
    <w:rsid w:val="00084D9F"/>
    <w:rsid w:val="00084F6E"/>
    <w:rsid w:val="00084FAB"/>
    <w:rsid w:val="000851AB"/>
    <w:rsid w:val="000855EB"/>
    <w:rsid w:val="0008576C"/>
    <w:rsid w:val="00085B52"/>
    <w:rsid w:val="00085BA5"/>
    <w:rsid w:val="00085CB0"/>
    <w:rsid w:val="000865C0"/>
    <w:rsid w:val="000866F2"/>
    <w:rsid w:val="00086ABF"/>
    <w:rsid w:val="00086DC0"/>
    <w:rsid w:val="00087027"/>
    <w:rsid w:val="0009009F"/>
    <w:rsid w:val="000901F0"/>
    <w:rsid w:val="00090852"/>
    <w:rsid w:val="00090C4D"/>
    <w:rsid w:val="00090CB9"/>
    <w:rsid w:val="000910E3"/>
    <w:rsid w:val="00091557"/>
    <w:rsid w:val="000924C1"/>
    <w:rsid w:val="000924F0"/>
    <w:rsid w:val="000929A8"/>
    <w:rsid w:val="00093279"/>
    <w:rsid w:val="00093474"/>
    <w:rsid w:val="000939E6"/>
    <w:rsid w:val="000946AD"/>
    <w:rsid w:val="0009510F"/>
    <w:rsid w:val="000954FB"/>
    <w:rsid w:val="00095575"/>
    <w:rsid w:val="0009557D"/>
    <w:rsid w:val="0009595C"/>
    <w:rsid w:val="000968C1"/>
    <w:rsid w:val="000972CE"/>
    <w:rsid w:val="00097302"/>
    <w:rsid w:val="000A04E1"/>
    <w:rsid w:val="000A0610"/>
    <w:rsid w:val="000A0C0B"/>
    <w:rsid w:val="000A121B"/>
    <w:rsid w:val="000A1676"/>
    <w:rsid w:val="000A16B7"/>
    <w:rsid w:val="000A18D4"/>
    <w:rsid w:val="000A1967"/>
    <w:rsid w:val="000A1B7B"/>
    <w:rsid w:val="000A1BCE"/>
    <w:rsid w:val="000A2785"/>
    <w:rsid w:val="000A4016"/>
    <w:rsid w:val="000A4393"/>
    <w:rsid w:val="000A54F0"/>
    <w:rsid w:val="000A56F2"/>
    <w:rsid w:val="000A59FD"/>
    <w:rsid w:val="000A5DDE"/>
    <w:rsid w:val="000A61F3"/>
    <w:rsid w:val="000A6644"/>
    <w:rsid w:val="000A6B7D"/>
    <w:rsid w:val="000A6DA2"/>
    <w:rsid w:val="000A7068"/>
    <w:rsid w:val="000A7B19"/>
    <w:rsid w:val="000A7CEF"/>
    <w:rsid w:val="000A7D0B"/>
    <w:rsid w:val="000A7D50"/>
    <w:rsid w:val="000B028B"/>
    <w:rsid w:val="000B0CC1"/>
    <w:rsid w:val="000B0E9F"/>
    <w:rsid w:val="000B1891"/>
    <w:rsid w:val="000B2719"/>
    <w:rsid w:val="000B2BFB"/>
    <w:rsid w:val="000B2CE9"/>
    <w:rsid w:val="000B3207"/>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77FA"/>
    <w:rsid w:val="000B7AF8"/>
    <w:rsid w:val="000C0CA3"/>
    <w:rsid w:val="000C0D78"/>
    <w:rsid w:val="000C139E"/>
    <w:rsid w:val="000C165A"/>
    <w:rsid w:val="000C16C8"/>
    <w:rsid w:val="000C1B98"/>
    <w:rsid w:val="000C2A16"/>
    <w:rsid w:val="000C2E19"/>
    <w:rsid w:val="000C4735"/>
    <w:rsid w:val="000C4736"/>
    <w:rsid w:val="000C4DA5"/>
    <w:rsid w:val="000C4FA6"/>
    <w:rsid w:val="000C51B3"/>
    <w:rsid w:val="000C67A3"/>
    <w:rsid w:val="000C6C5E"/>
    <w:rsid w:val="000C7530"/>
    <w:rsid w:val="000C7FBF"/>
    <w:rsid w:val="000D0D07"/>
    <w:rsid w:val="000D0DA1"/>
    <w:rsid w:val="000D0DD0"/>
    <w:rsid w:val="000D0EFF"/>
    <w:rsid w:val="000D13F7"/>
    <w:rsid w:val="000D17F5"/>
    <w:rsid w:val="000D1F2E"/>
    <w:rsid w:val="000D1F94"/>
    <w:rsid w:val="000D27CD"/>
    <w:rsid w:val="000D4797"/>
    <w:rsid w:val="000D4FAC"/>
    <w:rsid w:val="000D50DB"/>
    <w:rsid w:val="000D59C5"/>
    <w:rsid w:val="000D6423"/>
    <w:rsid w:val="000D6841"/>
    <w:rsid w:val="000D71F4"/>
    <w:rsid w:val="000D7715"/>
    <w:rsid w:val="000D7BDE"/>
    <w:rsid w:val="000E0527"/>
    <w:rsid w:val="000E0A04"/>
    <w:rsid w:val="000E0AFB"/>
    <w:rsid w:val="000E0B10"/>
    <w:rsid w:val="000E113C"/>
    <w:rsid w:val="000E1E92"/>
    <w:rsid w:val="000E2CC0"/>
    <w:rsid w:val="000E2D0E"/>
    <w:rsid w:val="000E2E2C"/>
    <w:rsid w:val="000E3413"/>
    <w:rsid w:val="000E3CE6"/>
    <w:rsid w:val="000E49DC"/>
    <w:rsid w:val="000E4B42"/>
    <w:rsid w:val="000E5750"/>
    <w:rsid w:val="000E7757"/>
    <w:rsid w:val="000E7DD7"/>
    <w:rsid w:val="000E7FA9"/>
    <w:rsid w:val="000F06D6"/>
    <w:rsid w:val="000F0EB1"/>
    <w:rsid w:val="000F1106"/>
    <w:rsid w:val="000F186D"/>
    <w:rsid w:val="000F19FE"/>
    <w:rsid w:val="000F1C67"/>
    <w:rsid w:val="000F2053"/>
    <w:rsid w:val="000F3BE9"/>
    <w:rsid w:val="000F3F6C"/>
    <w:rsid w:val="000F4E73"/>
    <w:rsid w:val="000F63FD"/>
    <w:rsid w:val="000F6DF3"/>
    <w:rsid w:val="000F75D8"/>
    <w:rsid w:val="001002DA"/>
    <w:rsid w:val="001005FF"/>
    <w:rsid w:val="00100B06"/>
    <w:rsid w:val="00100D9C"/>
    <w:rsid w:val="001027AA"/>
    <w:rsid w:val="0010434A"/>
    <w:rsid w:val="001045CC"/>
    <w:rsid w:val="00104D81"/>
    <w:rsid w:val="001062FB"/>
    <w:rsid w:val="001063E6"/>
    <w:rsid w:val="0010678F"/>
    <w:rsid w:val="00106C42"/>
    <w:rsid w:val="00107310"/>
    <w:rsid w:val="001076C5"/>
    <w:rsid w:val="00107864"/>
    <w:rsid w:val="00107F0F"/>
    <w:rsid w:val="00110596"/>
    <w:rsid w:val="00110C67"/>
    <w:rsid w:val="0011121F"/>
    <w:rsid w:val="00112985"/>
    <w:rsid w:val="00112A0F"/>
    <w:rsid w:val="00112BC3"/>
    <w:rsid w:val="00113168"/>
    <w:rsid w:val="00113C17"/>
    <w:rsid w:val="00113CF4"/>
    <w:rsid w:val="00113D95"/>
    <w:rsid w:val="0011533F"/>
    <w:rsid w:val="001153EA"/>
    <w:rsid w:val="00115643"/>
    <w:rsid w:val="001158A6"/>
    <w:rsid w:val="00115EAC"/>
    <w:rsid w:val="00116765"/>
    <w:rsid w:val="00116BA2"/>
    <w:rsid w:val="0011738D"/>
    <w:rsid w:val="001174EF"/>
    <w:rsid w:val="00117850"/>
    <w:rsid w:val="00117EB6"/>
    <w:rsid w:val="001219F5"/>
    <w:rsid w:val="00121A20"/>
    <w:rsid w:val="00121FDD"/>
    <w:rsid w:val="00122388"/>
    <w:rsid w:val="00122DF9"/>
    <w:rsid w:val="00122F2E"/>
    <w:rsid w:val="0012377F"/>
    <w:rsid w:val="00123C02"/>
    <w:rsid w:val="00123D95"/>
    <w:rsid w:val="0012408C"/>
    <w:rsid w:val="00124314"/>
    <w:rsid w:val="00124A77"/>
    <w:rsid w:val="00125A4D"/>
    <w:rsid w:val="00125B83"/>
    <w:rsid w:val="00125C2F"/>
    <w:rsid w:val="00125DD0"/>
    <w:rsid w:val="0012647B"/>
    <w:rsid w:val="00126B4A"/>
    <w:rsid w:val="00126EC7"/>
    <w:rsid w:val="0012701E"/>
    <w:rsid w:val="001277C2"/>
    <w:rsid w:val="00130288"/>
    <w:rsid w:val="001302FA"/>
    <w:rsid w:val="00130B6B"/>
    <w:rsid w:val="00130B84"/>
    <w:rsid w:val="00130D0E"/>
    <w:rsid w:val="00131A54"/>
    <w:rsid w:val="00132225"/>
    <w:rsid w:val="00132FD0"/>
    <w:rsid w:val="00133E1C"/>
    <w:rsid w:val="00133E57"/>
    <w:rsid w:val="001344C0"/>
    <w:rsid w:val="001346FA"/>
    <w:rsid w:val="00135252"/>
    <w:rsid w:val="00135881"/>
    <w:rsid w:val="00135905"/>
    <w:rsid w:val="001363EF"/>
    <w:rsid w:val="00136C56"/>
    <w:rsid w:val="00136EB3"/>
    <w:rsid w:val="00136F62"/>
    <w:rsid w:val="001372E4"/>
    <w:rsid w:val="00137AB5"/>
    <w:rsid w:val="00137F0B"/>
    <w:rsid w:val="001405B9"/>
    <w:rsid w:val="00140CDB"/>
    <w:rsid w:val="00140FC4"/>
    <w:rsid w:val="00143DDE"/>
    <w:rsid w:val="00144A81"/>
    <w:rsid w:val="001469D4"/>
    <w:rsid w:val="001501DB"/>
    <w:rsid w:val="00150AB6"/>
    <w:rsid w:val="00150F90"/>
    <w:rsid w:val="00151189"/>
    <w:rsid w:val="0015118E"/>
    <w:rsid w:val="00151E23"/>
    <w:rsid w:val="00152321"/>
    <w:rsid w:val="001523F3"/>
    <w:rsid w:val="001526E0"/>
    <w:rsid w:val="00152DBF"/>
    <w:rsid w:val="00153A1F"/>
    <w:rsid w:val="00154671"/>
    <w:rsid w:val="00155135"/>
    <w:rsid w:val="00155155"/>
    <w:rsid w:val="001551B5"/>
    <w:rsid w:val="001551F9"/>
    <w:rsid w:val="00155512"/>
    <w:rsid w:val="001556BD"/>
    <w:rsid w:val="00157B9D"/>
    <w:rsid w:val="0016002E"/>
    <w:rsid w:val="00160069"/>
    <w:rsid w:val="001600EE"/>
    <w:rsid w:val="00160C36"/>
    <w:rsid w:val="001610B1"/>
    <w:rsid w:val="001621FB"/>
    <w:rsid w:val="001622D5"/>
    <w:rsid w:val="00163046"/>
    <w:rsid w:val="001643A8"/>
    <w:rsid w:val="00164617"/>
    <w:rsid w:val="00164D7A"/>
    <w:rsid w:val="00164EB3"/>
    <w:rsid w:val="00165362"/>
    <w:rsid w:val="001659C1"/>
    <w:rsid w:val="00165F8E"/>
    <w:rsid w:val="00166025"/>
    <w:rsid w:val="00166030"/>
    <w:rsid w:val="00166169"/>
    <w:rsid w:val="00167FD2"/>
    <w:rsid w:val="001701F0"/>
    <w:rsid w:val="001702E2"/>
    <w:rsid w:val="00170E4E"/>
    <w:rsid w:val="001711C4"/>
    <w:rsid w:val="00171238"/>
    <w:rsid w:val="0017131F"/>
    <w:rsid w:val="00171D65"/>
    <w:rsid w:val="00172253"/>
    <w:rsid w:val="001724AD"/>
    <w:rsid w:val="00172FC1"/>
    <w:rsid w:val="00173A8E"/>
    <w:rsid w:val="00173C4D"/>
    <w:rsid w:val="001744BB"/>
    <w:rsid w:val="001744DF"/>
    <w:rsid w:val="0017453A"/>
    <w:rsid w:val="001745E4"/>
    <w:rsid w:val="00174BAC"/>
    <w:rsid w:val="00174E65"/>
    <w:rsid w:val="00175358"/>
    <w:rsid w:val="001754DB"/>
    <w:rsid w:val="00177795"/>
    <w:rsid w:val="001801A7"/>
    <w:rsid w:val="0018143F"/>
    <w:rsid w:val="001815BA"/>
    <w:rsid w:val="001815DD"/>
    <w:rsid w:val="00181A6B"/>
    <w:rsid w:val="00182925"/>
    <w:rsid w:val="001836C2"/>
    <w:rsid w:val="001836F6"/>
    <w:rsid w:val="00183ED8"/>
    <w:rsid w:val="00184052"/>
    <w:rsid w:val="00185503"/>
    <w:rsid w:val="00185D66"/>
    <w:rsid w:val="001871DD"/>
    <w:rsid w:val="001875B6"/>
    <w:rsid w:val="00187930"/>
    <w:rsid w:val="00190AC1"/>
    <w:rsid w:val="001927DF"/>
    <w:rsid w:val="001932FC"/>
    <w:rsid w:val="0019341A"/>
    <w:rsid w:val="00193DCE"/>
    <w:rsid w:val="00194B49"/>
    <w:rsid w:val="00194F24"/>
    <w:rsid w:val="00196A3C"/>
    <w:rsid w:val="00196D77"/>
    <w:rsid w:val="0019757B"/>
    <w:rsid w:val="00197A2B"/>
    <w:rsid w:val="00197CFF"/>
    <w:rsid w:val="00197DF9"/>
    <w:rsid w:val="001A0F35"/>
    <w:rsid w:val="001A10BD"/>
    <w:rsid w:val="001A1549"/>
    <w:rsid w:val="001A1987"/>
    <w:rsid w:val="001A2564"/>
    <w:rsid w:val="001A2707"/>
    <w:rsid w:val="001A279E"/>
    <w:rsid w:val="001A3324"/>
    <w:rsid w:val="001A3F21"/>
    <w:rsid w:val="001A464A"/>
    <w:rsid w:val="001A48E8"/>
    <w:rsid w:val="001A5B05"/>
    <w:rsid w:val="001A6173"/>
    <w:rsid w:val="001A68D9"/>
    <w:rsid w:val="001A6CBA"/>
    <w:rsid w:val="001A6EE8"/>
    <w:rsid w:val="001A6F73"/>
    <w:rsid w:val="001A715A"/>
    <w:rsid w:val="001A743D"/>
    <w:rsid w:val="001A7ADE"/>
    <w:rsid w:val="001B0806"/>
    <w:rsid w:val="001B0D7B"/>
    <w:rsid w:val="001B0D97"/>
    <w:rsid w:val="001B1356"/>
    <w:rsid w:val="001B14F9"/>
    <w:rsid w:val="001B25E5"/>
    <w:rsid w:val="001B274D"/>
    <w:rsid w:val="001B2D32"/>
    <w:rsid w:val="001B4453"/>
    <w:rsid w:val="001B49EC"/>
    <w:rsid w:val="001B52BA"/>
    <w:rsid w:val="001B59DA"/>
    <w:rsid w:val="001B5A5D"/>
    <w:rsid w:val="001B612E"/>
    <w:rsid w:val="001B63CF"/>
    <w:rsid w:val="001B6441"/>
    <w:rsid w:val="001B6813"/>
    <w:rsid w:val="001B68B3"/>
    <w:rsid w:val="001B796C"/>
    <w:rsid w:val="001B7A0B"/>
    <w:rsid w:val="001B7F5A"/>
    <w:rsid w:val="001C0105"/>
    <w:rsid w:val="001C100B"/>
    <w:rsid w:val="001C1301"/>
    <w:rsid w:val="001C18FE"/>
    <w:rsid w:val="001C1CE5"/>
    <w:rsid w:val="001C2657"/>
    <w:rsid w:val="001C3258"/>
    <w:rsid w:val="001C373E"/>
    <w:rsid w:val="001C3CFF"/>
    <w:rsid w:val="001C3D2A"/>
    <w:rsid w:val="001C5118"/>
    <w:rsid w:val="001C5574"/>
    <w:rsid w:val="001C5726"/>
    <w:rsid w:val="001C6495"/>
    <w:rsid w:val="001C7019"/>
    <w:rsid w:val="001C7241"/>
    <w:rsid w:val="001C73A8"/>
    <w:rsid w:val="001C7757"/>
    <w:rsid w:val="001C7EDE"/>
    <w:rsid w:val="001D1DCC"/>
    <w:rsid w:val="001D1F94"/>
    <w:rsid w:val="001D2EEA"/>
    <w:rsid w:val="001D302B"/>
    <w:rsid w:val="001D3177"/>
    <w:rsid w:val="001D3954"/>
    <w:rsid w:val="001D42FB"/>
    <w:rsid w:val="001D479D"/>
    <w:rsid w:val="001D4917"/>
    <w:rsid w:val="001D51BA"/>
    <w:rsid w:val="001D5635"/>
    <w:rsid w:val="001D56A3"/>
    <w:rsid w:val="001D6342"/>
    <w:rsid w:val="001D6C6F"/>
    <w:rsid w:val="001D6D53"/>
    <w:rsid w:val="001D6F08"/>
    <w:rsid w:val="001E01F8"/>
    <w:rsid w:val="001E0DF6"/>
    <w:rsid w:val="001E0F8D"/>
    <w:rsid w:val="001E17DD"/>
    <w:rsid w:val="001E2DB2"/>
    <w:rsid w:val="001E41F8"/>
    <w:rsid w:val="001E44E6"/>
    <w:rsid w:val="001E58DD"/>
    <w:rsid w:val="001E58E2"/>
    <w:rsid w:val="001E6091"/>
    <w:rsid w:val="001E7AED"/>
    <w:rsid w:val="001F087C"/>
    <w:rsid w:val="001F1025"/>
    <w:rsid w:val="001F19C8"/>
    <w:rsid w:val="001F2689"/>
    <w:rsid w:val="001F3467"/>
    <w:rsid w:val="001F355A"/>
    <w:rsid w:val="001F3916"/>
    <w:rsid w:val="001F3D7C"/>
    <w:rsid w:val="001F46B9"/>
    <w:rsid w:val="001F54C5"/>
    <w:rsid w:val="001F5784"/>
    <w:rsid w:val="001F5AB3"/>
    <w:rsid w:val="001F662C"/>
    <w:rsid w:val="001F69F7"/>
    <w:rsid w:val="001F7074"/>
    <w:rsid w:val="00200490"/>
    <w:rsid w:val="00200A3B"/>
    <w:rsid w:val="00200DDF"/>
    <w:rsid w:val="00200E3E"/>
    <w:rsid w:val="00200F80"/>
    <w:rsid w:val="002010D6"/>
    <w:rsid w:val="00201E90"/>
    <w:rsid w:val="00201F3A"/>
    <w:rsid w:val="002032A8"/>
    <w:rsid w:val="002038CF"/>
    <w:rsid w:val="00203F96"/>
    <w:rsid w:val="002044C2"/>
    <w:rsid w:val="00204A58"/>
    <w:rsid w:val="00204DBB"/>
    <w:rsid w:val="002057C9"/>
    <w:rsid w:val="00205826"/>
    <w:rsid w:val="00205B1B"/>
    <w:rsid w:val="00205F33"/>
    <w:rsid w:val="0020698E"/>
    <w:rsid w:val="002069B2"/>
    <w:rsid w:val="00207E1A"/>
    <w:rsid w:val="00207FA3"/>
    <w:rsid w:val="00213283"/>
    <w:rsid w:val="00213867"/>
    <w:rsid w:val="00213E1E"/>
    <w:rsid w:val="00214DA8"/>
    <w:rsid w:val="00215423"/>
    <w:rsid w:val="002158FA"/>
    <w:rsid w:val="00215A53"/>
    <w:rsid w:val="00217079"/>
    <w:rsid w:val="0021735F"/>
    <w:rsid w:val="00217ABD"/>
    <w:rsid w:val="00217D43"/>
    <w:rsid w:val="00220600"/>
    <w:rsid w:val="002217DD"/>
    <w:rsid w:val="002224DB"/>
    <w:rsid w:val="00222DBC"/>
    <w:rsid w:val="00223CDE"/>
    <w:rsid w:val="00223FCB"/>
    <w:rsid w:val="002241B0"/>
    <w:rsid w:val="002252AD"/>
    <w:rsid w:val="002252C3"/>
    <w:rsid w:val="002257C5"/>
    <w:rsid w:val="00225C54"/>
    <w:rsid w:val="00226A79"/>
    <w:rsid w:val="00227AF2"/>
    <w:rsid w:val="00227E24"/>
    <w:rsid w:val="00227ECB"/>
    <w:rsid w:val="00230765"/>
    <w:rsid w:val="002319E4"/>
    <w:rsid w:val="00232C7C"/>
    <w:rsid w:val="00233C3D"/>
    <w:rsid w:val="00233C9B"/>
    <w:rsid w:val="002352DA"/>
    <w:rsid w:val="00235632"/>
    <w:rsid w:val="00235872"/>
    <w:rsid w:val="00235B27"/>
    <w:rsid w:val="00235BBB"/>
    <w:rsid w:val="00235F99"/>
    <w:rsid w:val="0023631C"/>
    <w:rsid w:val="00236C86"/>
    <w:rsid w:val="00236DC4"/>
    <w:rsid w:val="00237BC1"/>
    <w:rsid w:val="00237F50"/>
    <w:rsid w:val="00240D0C"/>
    <w:rsid w:val="002413FF"/>
    <w:rsid w:val="00241559"/>
    <w:rsid w:val="0024169E"/>
    <w:rsid w:val="0024183E"/>
    <w:rsid w:val="00241A9F"/>
    <w:rsid w:val="00241F02"/>
    <w:rsid w:val="00241FDD"/>
    <w:rsid w:val="00242237"/>
    <w:rsid w:val="00242A33"/>
    <w:rsid w:val="002435B3"/>
    <w:rsid w:val="00243A70"/>
    <w:rsid w:val="00243B00"/>
    <w:rsid w:val="00243D41"/>
    <w:rsid w:val="00243ED4"/>
    <w:rsid w:val="002442F3"/>
    <w:rsid w:val="00244335"/>
    <w:rsid w:val="0024478D"/>
    <w:rsid w:val="00244A3D"/>
    <w:rsid w:val="00245879"/>
    <w:rsid w:val="002458EB"/>
    <w:rsid w:val="00245ECE"/>
    <w:rsid w:val="0024622C"/>
    <w:rsid w:val="00247C40"/>
    <w:rsid w:val="00247E48"/>
    <w:rsid w:val="0025003A"/>
    <w:rsid w:val="002500C8"/>
    <w:rsid w:val="00250CCE"/>
    <w:rsid w:val="00251148"/>
    <w:rsid w:val="00251500"/>
    <w:rsid w:val="0025159A"/>
    <w:rsid w:val="00251949"/>
    <w:rsid w:val="00251CEE"/>
    <w:rsid w:val="00254DC3"/>
    <w:rsid w:val="002557F6"/>
    <w:rsid w:val="002562F8"/>
    <w:rsid w:val="00256F60"/>
    <w:rsid w:val="0025719F"/>
    <w:rsid w:val="00257299"/>
    <w:rsid w:val="00257543"/>
    <w:rsid w:val="002579FA"/>
    <w:rsid w:val="002605C9"/>
    <w:rsid w:val="00260CFB"/>
    <w:rsid w:val="002617E7"/>
    <w:rsid w:val="00261FC8"/>
    <w:rsid w:val="00262C81"/>
    <w:rsid w:val="00262EB6"/>
    <w:rsid w:val="002632BE"/>
    <w:rsid w:val="002633E3"/>
    <w:rsid w:val="00264228"/>
    <w:rsid w:val="00264334"/>
    <w:rsid w:val="0026473E"/>
    <w:rsid w:val="0026488F"/>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4D4D"/>
    <w:rsid w:val="0027544A"/>
    <w:rsid w:val="00275549"/>
    <w:rsid w:val="0027586B"/>
    <w:rsid w:val="002758BA"/>
    <w:rsid w:val="00276B58"/>
    <w:rsid w:val="00276BE3"/>
    <w:rsid w:val="0027777C"/>
    <w:rsid w:val="00280537"/>
    <w:rsid w:val="002805F5"/>
    <w:rsid w:val="00280751"/>
    <w:rsid w:val="00280848"/>
    <w:rsid w:val="002818AE"/>
    <w:rsid w:val="002827AD"/>
    <w:rsid w:val="0028280A"/>
    <w:rsid w:val="00282A55"/>
    <w:rsid w:val="00283426"/>
    <w:rsid w:val="00283FA1"/>
    <w:rsid w:val="00284D9D"/>
    <w:rsid w:val="00285265"/>
    <w:rsid w:val="002854D5"/>
    <w:rsid w:val="00286ACD"/>
    <w:rsid w:val="00286D5A"/>
    <w:rsid w:val="00287838"/>
    <w:rsid w:val="00290332"/>
    <w:rsid w:val="002906C4"/>
    <w:rsid w:val="002907B5"/>
    <w:rsid w:val="00290B08"/>
    <w:rsid w:val="00290BD6"/>
    <w:rsid w:val="00291663"/>
    <w:rsid w:val="00291B4C"/>
    <w:rsid w:val="002922E6"/>
    <w:rsid w:val="002924A1"/>
    <w:rsid w:val="00292EB7"/>
    <w:rsid w:val="0029321E"/>
    <w:rsid w:val="002940D2"/>
    <w:rsid w:val="002941E2"/>
    <w:rsid w:val="00296227"/>
    <w:rsid w:val="002966E4"/>
    <w:rsid w:val="00296C78"/>
    <w:rsid w:val="00296D79"/>
    <w:rsid w:val="00296D80"/>
    <w:rsid w:val="00296F44"/>
    <w:rsid w:val="0029767A"/>
    <w:rsid w:val="0029777D"/>
    <w:rsid w:val="002A055E"/>
    <w:rsid w:val="002A1002"/>
    <w:rsid w:val="002A145C"/>
    <w:rsid w:val="002A17BC"/>
    <w:rsid w:val="002A1AE5"/>
    <w:rsid w:val="002A1D4E"/>
    <w:rsid w:val="002A2869"/>
    <w:rsid w:val="002A2980"/>
    <w:rsid w:val="002A2A87"/>
    <w:rsid w:val="002A2DB3"/>
    <w:rsid w:val="002A30D2"/>
    <w:rsid w:val="002A379D"/>
    <w:rsid w:val="002A3828"/>
    <w:rsid w:val="002A547A"/>
    <w:rsid w:val="002A557A"/>
    <w:rsid w:val="002A5AC2"/>
    <w:rsid w:val="002A5DCC"/>
    <w:rsid w:val="002A5EB0"/>
    <w:rsid w:val="002A66A7"/>
    <w:rsid w:val="002A72BE"/>
    <w:rsid w:val="002A7452"/>
    <w:rsid w:val="002A794B"/>
    <w:rsid w:val="002A79BE"/>
    <w:rsid w:val="002A7D78"/>
    <w:rsid w:val="002B007F"/>
    <w:rsid w:val="002B0189"/>
    <w:rsid w:val="002B0D3E"/>
    <w:rsid w:val="002B1373"/>
    <w:rsid w:val="002B1E4E"/>
    <w:rsid w:val="002B24D6"/>
    <w:rsid w:val="002B29F4"/>
    <w:rsid w:val="002B2A75"/>
    <w:rsid w:val="002B2FBC"/>
    <w:rsid w:val="002B33EC"/>
    <w:rsid w:val="002B3CB5"/>
    <w:rsid w:val="002B4256"/>
    <w:rsid w:val="002B46F2"/>
    <w:rsid w:val="002B4D70"/>
    <w:rsid w:val="002B56F8"/>
    <w:rsid w:val="002B5FE5"/>
    <w:rsid w:val="002B6CA5"/>
    <w:rsid w:val="002C02EA"/>
    <w:rsid w:val="002C056C"/>
    <w:rsid w:val="002C087A"/>
    <w:rsid w:val="002C0960"/>
    <w:rsid w:val="002C14DA"/>
    <w:rsid w:val="002C1AAA"/>
    <w:rsid w:val="002C2B77"/>
    <w:rsid w:val="002C3947"/>
    <w:rsid w:val="002C3A69"/>
    <w:rsid w:val="002C3C7A"/>
    <w:rsid w:val="002C3D9E"/>
    <w:rsid w:val="002C41E6"/>
    <w:rsid w:val="002C476C"/>
    <w:rsid w:val="002C50A5"/>
    <w:rsid w:val="002C59CB"/>
    <w:rsid w:val="002C7BD9"/>
    <w:rsid w:val="002C7FD6"/>
    <w:rsid w:val="002D0050"/>
    <w:rsid w:val="002D0363"/>
    <w:rsid w:val="002D071A"/>
    <w:rsid w:val="002D1A24"/>
    <w:rsid w:val="002D1A8F"/>
    <w:rsid w:val="002D1F40"/>
    <w:rsid w:val="002D20A8"/>
    <w:rsid w:val="002D20BB"/>
    <w:rsid w:val="002D20E1"/>
    <w:rsid w:val="002D242A"/>
    <w:rsid w:val="002D2908"/>
    <w:rsid w:val="002D2E77"/>
    <w:rsid w:val="002D31F0"/>
    <w:rsid w:val="002D34B2"/>
    <w:rsid w:val="002D4322"/>
    <w:rsid w:val="002D68E6"/>
    <w:rsid w:val="002D6B89"/>
    <w:rsid w:val="002D6C17"/>
    <w:rsid w:val="002D72B6"/>
    <w:rsid w:val="002D7637"/>
    <w:rsid w:val="002D7A26"/>
    <w:rsid w:val="002D7CB9"/>
    <w:rsid w:val="002E07C5"/>
    <w:rsid w:val="002E0DAA"/>
    <w:rsid w:val="002E17F2"/>
    <w:rsid w:val="002E28C1"/>
    <w:rsid w:val="002E2FD7"/>
    <w:rsid w:val="002E49A8"/>
    <w:rsid w:val="002E50C6"/>
    <w:rsid w:val="002E5207"/>
    <w:rsid w:val="002E57B7"/>
    <w:rsid w:val="002E6068"/>
    <w:rsid w:val="002E6EA1"/>
    <w:rsid w:val="002E7691"/>
    <w:rsid w:val="002E791C"/>
    <w:rsid w:val="002E7CAE"/>
    <w:rsid w:val="002F244B"/>
    <w:rsid w:val="002F2771"/>
    <w:rsid w:val="002F37A9"/>
    <w:rsid w:val="002F4597"/>
    <w:rsid w:val="002F459D"/>
    <w:rsid w:val="002F4940"/>
    <w:rsid w:val="002F4EEB"/>
    <w:rsid w:val="002F539B"/>
    <w:rsid w:val="002F5C0D"/>
    <w:rsid w:val="002F5CA6"/>
    <w:rsid w:val="002F6728"/>
    <w:rsid w:val="002F6AD8"/>
    <w:rsid w:val="002F7102"/>
    <w:rsid w:val="002F7A06"/>
    <w:rsid w:val="00300043"/>
    <w:rsid w:val="0030029C"/>
    <w:rsid w:val="00301779"/>
    <w:rsid w:val="00301CE6"/>
    <w:rsid w:val="00301ECA"/>
    <w:rsid w:val="0030256B"/>
    <w:rsid w:val="00302762"/>
    <w:rsid w:val="0030304F"/>
    <w:rsid w:val="0030501F"/>
    <w:rsid w:val="00305075"/>
    <w:rsid w:val="00306F4A"/>
    <w:rsid w:val="00307BA1"/>
    <w:rsid w:val="00311702"/>
    <w:rsid w:val="00311E82"/>
    <w:rsid w:val="00312674"/>
    <w:rsid w:val="00312922"/>
    <w:rsid w:val="003131C0"/>
    <w:rsid w:val="00313FD6"/>
    <w:rsid w:val="003140AE"/>
    <w:rsid w:val="003143BD"/>
    <w:rsid w:val="00314929"/>
    <w:rsid w:val="003149BC"/>
    <w:rsid w:val="00314B3F"/>
    <w:rsid w:val="00315787"/>
    <w:rsid w:val="00315C6E"/>
    <w:rsid w:val="00317197"/>
    <w:rsid w:val="00317EEF"/>
    <w:rsid w:val="003203ED"/>
    <w:rsid w:val="00320E22"/>
    <w:rsid w:val="003212DB"/>
    <w:rsid w:val="00322154"/>
    <w:rsid w:val="003222AB"/>
    <w:rsid w:val="00322C9F"/>
    <w:rsid w:val="00323EED"/>
    <w:rsid w:val="003249E4"/>
    <w:rsid w:val="00324D23"/>
    <w:rsid w:val="0032515B"/>
    <w:rsid w:val="00326732"/>
    <w:rsid w:val="003278AB"/>
    <w:rsid w:val="00330006"/>
    <w:rsid w:val="00330CC6"/>
    <w:rsid w:val="00331751"/>
    <w:rsid w:val="00331DE4"/>
    <w:rsid w:val="00331EEB"/>
    <w:rsid w:val="00332F05"/>
    <w:rsid w:val="00333736"/>
    <w:rsid w:val="00333A84"/>
    <w:rsid w:val="00334579"/>
    <w:rsid w:val="0033505E"/>
    <w:rsid w:val="00335858"/>
    <w:rsid w:val="00335C1B"/>
    <w:rsid w:val="00335F39"/>
    <w:rsid w:val="00336BDA"/>
    <w:rsid w:val="00337194"/>
    <w:rsid w:val="00340555"/>
    <w:rsid w:val="00340A45"/>
    <w:rsid w:val="00340A56"/>
    <w:rsid w:val="00342855"/>
    <w:rsid w:val="00342BD7"/>
    <w:rsid w:val="00342C9B"/>
    <w:rsid w:val="00343459"/>
    <w:rsid w:val="00343A07"/>
    <w:rsid w:val="0034458D"/>
    <w:rsid w:val="00344FB1"/>
    <w:rsid w:val="00345569"/>
    <w:rsid w:val="00345864"/>
    <w:rsid w:val="0034592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CF3"/>
    <w:rsid w:val="0036688E"/>
    <w:rsid w:val="00366E84"/>
    <w:rsid w:val="003670C4"/>
    <w:rsid w:val="00370E47"/>
    <w:rsid w:val="00371752"/>
    <w:rsid w:val="00372570"/>
    <w:rsid w:val="0037322F"/>
    <w:rsid w:val="00373777"/>
    <w:rsid w:val="003742AC"/>
    <w:rsid w:val="00376A1A"/>
    <w:rsid w:val="00376B9D"/>
    <w:rsid w:val="0037721F"/>
    <w:rsid w:val="00377CE1"/>
    <w:rsid w:val="003807F1"/>
    <w:rsid w:val="00380D0E"/>
    <w:rsid w:val="003815BB"/>
    <w:rsid w:val="00383C13"/>
    <w:rsid w:val="00384273"/>
    <w:rsid w:val="00384372"/>
    <w:rsid w:val="00384F45"/>
    <w:rsid w:val="0038531D"/>
    <w:rsid w:val="00385BF0"/>
    <w:rsid w:val="003865FE"/>
    <w:rsid w:val="00386604"/>
    <w:rsid w:val="003874BE"/>
    <w:rsid w:val="003879D8"/>
    <w:rsid w:val="00387E49"/>
    <w:rsid w:val="00390359"/>
    <w:rsid w:val="00390CEF"/>
    <w:rsid w:val="003915EB"/>
    <w:rsid w:val="0039299F"/>
    <w:rsid w:val="0039320A"/>
    <w:rsid w:val="00393588"/>
    <w:rsid w:val="0039386A"/>
    <w:rsid w:val="003939FF"/>
    <w:rsid w:val="00393BCB"/>
    <w:rsid w:val="00394001"/>
    <w:rsid w:val="0039438D"/>
    <w:rsid w:val="00395165"/>
    <w:rsid w:val="00396685"/>
    <w:rsid w:val="003970C5"/>
    <w:rsid w:val="00397D57"/>
    <w:rsid w:val="003A0892"/>
    <w:rsid w:val="003A0F64"/>
    <w:rsid w:val="003A16A6"/>
    <w:rsid w:val="003A1C15"/>
    <w:rsid w:val="003A2223"/>
    <w:rsid w:val="003A2638"/>
    <w:rsid w:val="003A2692"/>
    <w:rsid w:val="003A2A0F"/>
    <w:rsid w:val="003A392F"/>
    <w:rsid w:val="003A39D5"/>
    <w:rsid w:val="003A4100"/>
    <w:rsid w:val="003A45A1"/>
    <w:rsid w:val="003A52F5"/>
    <w:rsid w:val="003A5B0A"/>
    <w:rsid w:val="003A6BAC"/>
    <w:rsid w:val="003A6CFA"/>
    <w:rsid w:val="003A71F2"/>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9BC"/>
    <w:rsid w:val="003B5A27"/>
    <w:rsid w:val="003B5F50"/>
    <w:rsid w:val="003B70DF"/>
    <w:rsid w:val="003B70E0"/>
    <w:rsid w:val="003B7700"/>
    <w:rsid w:val="003B785E"/>
    <w:rsid w:val="003B7FE5"/>
    <w:rsid w:val="003C11C8"/>
    <w:rsid w:val="003C1905"/>
    <w:rsid w:val="003C1E8B"/>
    <w:rsid w:val="003C221A"/>
    <w:rsid w:val="003C2516"/>
    <w:rsid w:val="003C2702"/>
    <w:rsid w:val="003C4112"/>
    <w:rsid w:val="003C4F5D"/>
    <w:rsid w:val="003C585B"/>
    <w:rsid w:val="003C5D55"/>
    <w:rsid w:val="003C6EF3"/>
    <w:rsid w:val="003C7806"/>
    <w:rsid w:val="003C78B5"/>
    <w:rsid w:val="003C7F8E"/>
    <w:rsid w:val="003D0607"/>
    <w:rsid w:val="003D109F"/>
    <w:rsid w:val="003D2478"/>
    <w:rsid w:val="003D2DDC"/>
    <w:rsid w:val="003D2FC4"/>
    <w:rsid w:val="003D3279"/>
    <w:rsid w:val="003D3866"/>
    <w:rsid w:val="003D3C45"/>
    <w:rsid w:val="003D40F8"/>
    <w:rsid w:val="003D47C1"/>
    <w:rsid w:val="003D4ECB"/>
    <w:rsid w:val="003D5B1F"/>
    <w:rsid w:val="003D606C"/>
    <w:rsid w:val="003D6556"/>
    <w:rsid w:val="003D761D"/>
    <w:rsid w:val="003D7A25"/>
    <w:rsid w:val="003D7E55"/>
    <w:rsid w:val="003E04AC"/>
    <w:rsid w:val="003E05BD"/>
    <w:rsid w:val="003E072B"/>
    <w:rsid w:val="003E0D27"/>
    <w:rsid w:val="003E0F30"/>
    <w:rsid w:val="003E1481"/>
    <w:rsid w:val="003E15FA"/>
    <w:rsid w:val="003E181F"/>
    <w:rsid w:val="003E1D4C"/>
    <w:rsid w:val="003E33C2"/>
    <w:rsid w:val="003E3A14"/>
    <w:rsid w:val="003E3C4D"/>
    <w:rsid w:val="003E3DE7"/>
    <w:rsid w:val="003E434B"/>
    <w:rsid w:val="003E52E6"/>
    <w:rsid w:val="003E55E4"/>
    <w:rsid w:val="003E5D31"/>
    <w:rsid w:val="003E6208"/>
    <w:rsid w:val="003E64FD"/>
    <w:rsid w:val="003E6BC9"/>
    <w:rsid w:val="003E6CD0"/>
    <w:rsid w:val="003E74E3"/>
    <w:rsid w:val="003E770B"/>
    <w:rsid w:val="003F011C"/>
    <w:rsid w:val="003F0137"/>
    <w:rsid w:val="003F01B0"/>
    <w:rsid w:val="003F05C7"/>
    <w:rsid w:val="003F0E82"/>
    <w:rsid w:val="003F163A"/>
    <w:rsid w:val="003F178D"/>
    <w:rsid w:val="003F1C94"/>
    <w:rsid w:val="003F1CDA"/>
    <w:rsid w:val="003F231C"/>
    <w:rsid w:val="003F2497"/>
    <w:rsid w:val="003F2CD4"/>
    <w:rsid w:val="003F3103"/>
    <w:rsid w:val="003F4198"/>
    <w:rsid w:val="003F41C6"/>
    <w:rsid w:val="003F43C0"/>
    <w:rsid w:val="003F5328"/>
    <w:rsid w:val="003F633D"/>
    <w:rsid w:val="003F6BBE"/>
    <w:rsid w:val="003F6D27"/>
    <w:rsid w:val="003F6E7D"/>
    <w:rsid w:val="003F6ED2"/>
    <w:rsid w:val="004000E8"/>
    <w:rsid w:val="00400EF0"/>
    <w:rsid w:val="0040123A"/>
    <w:rsid w:val="00401247"/>
    <w:rsid w:val="00402735"/>
    <w:rsid w:val="00402E2B"/>
    <w:rsid w:val="00403926"/>
    <w:rsid w:val="004045F0"/>
    <w:rsid w:val="0040512B"/>
    <w:rsid w:val="00405B45"/>
    <w:rsid w:val="00405CA5"/>
    <w:rsid w:val="00405E96"/>
    <w:rsid w:val="00406278"/>
    <w:rsid w:val="004069EF"/>
    <w:rsid w:val="00406E22"/>
    <w:rsid w:val="00407297"/>
    <w:rsid w:val="0040743C"/>
    <w:rsid w:val="00407452"/>
    <w:rsid w:val="00407460"/>
    <w:rsid w:val="00407C77"/>
    <w:rsid w:val="00407CD3"/>
    <w:rsid w:val="00410134"/>
    <w:rsid w:val="00410202"/>
    <w:rsid w:val="00410B72"/>
    <w:rsid w:val="00410E67"/>
    <w:rsid w:val="00410F18"/>
    <w:rsid w:val="00410FF2"/>
    <w:rsid w:val="004116D8"/>
    <w:rsid w:val="00411965"/>
    <w:rsid w:val="0041263E"/>
    <w:rsid w:val="00412820"/>
    <w:rsid w:val="00412E13"/>
    <w:rsid w:val="00413187"/>
    <w:rsid w:val="00413288"/>
    <w:rsid w:val="00413AAC"/>
    <w:rsid w:val="0041547C"/>
    <w:rsid w:val="00415AE2"/>
    <w:rsid w:val="00415CFE"/>
    <w:rsid w:val="00416EC8"/>
    <w:rsid w:val="00417E76"/>
    <w:rsid w:val="00421105"/>
    <w:rsid w:val="00421595"/>
    <w:rsid w:val="00422979"/>
    <w:rsid w:val="00422A70"/>
    <w:rsid w:val="00422F98"/>
    <w:rsid w:val="00424028"/>
    <w:rsid w:val="004242F4"/>
    <w:rsid w:val="00424C2D"/>
    <w:rsid w:val="0042524E"/>
    <w:rsid w:val="00425743"/>
    <w:rsid w:val="00425750"/>
    <w:rsid w:val="00427248"/>
    <w:rsid w:val="00430170"/>
    <w:rsid w:val="0043149A"/>
    <w:rsid w:val="00431986"/>
    <w:rsid w:val="00431CCC"/>
    <w:rsid w:val="00431F63"/>
    <w:rsid w:val="004323FC"/>
    <w:rsid w:val="004336FF"/>
    <w:rsid w:val="00433FC2"/>
    <w:rsid w:val="00435AA5"/>
    <w:rsid w:val="00435AF5"/>
    <w:rsid w:val="00435C6C"/>
    <w:rsid w:val="00435F36"/>
    <w:rsid w:val="00437447"/>
    <w:rsid w:val="0043752A"/>
    <w:rsid w:val="004379E8"/>
    <w:rsid w:val="00437BB9"/>
    <w:rsid w:val="00437C66"/>
    <w:rsid w:val="00437DE7"/>
    <w:rsid w:val="00440310"/>
    <w:rsid w:val="004408BD"/>
    <w:rsid w:val="00440B5F"/>
    <w:rsid w:val="00440C55"/>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50B74"/>
    <w:rsid w:val="00450DD4"/>
    <w:rsid w:val="004517AA"/>
    <w:rsid w:val="00451C61"/>
    <w:rsid w:val="00452CAC"/>
    <w:rsid w:val="004533DD"/>
    <w:rsid w:val="004539C6"/>
    <w:rsid w:val="00453C0A"/>
    <w:rsid w:val="004541F9"/>
    <w:rsid w:val="00454DB3"/>
    <w:rsid w:val="0045578A"/>
    <w:rsid w:val="0045595C"/>
    <w:rsid w:val="004561E0"/>
    <w:rsid w:val="00456FC4"/>
    <w:rsid w:val="00457565"/>
    <w:rsid w:val="00457B71"/>
    <w:rsid w:val="00457CD9"/>
    <w:rsid w:val="00460601"/>
    <w:rsid w:val="00460721"/>
    <w:rsid w:val="00460746"/>
    <w:rsid w:val="004619F9"/>
    <w:rsid w:val="00461EBB"/>
    <w:rsid w:val="004621E8"/>
    <w:rsid w:val="00462C81"/>
    <w:rsid w:val="00462FA5"/>
    <w:rsid w:val="0046430E"/>
    <w:rsid w:val="00464E0F"/>
    <w:rsid w:val="004651AD"/>
    <w:rsid w:val="00465F3A"/>
    <w:rsid w:val="0046694A"/>
    <w:rsid w:val="004669E2"/>
    <w:rsid w:val="00466EBC"/>
    <w:rsid w:val="00467BB9"/>
    <w:rsid w:val="00470C31"/>
    <w:rsid w:val="00470C4F"/>
    <w:rsid w:val="004719C3"/>
    <w:rsid w:val="00472FAC"/>
    <w:rsid w:val="004734D0"/>
    <w:rsid w:val="00473C75"/>
    <w:rsid w:val="00474096"/>
    <w:rsid w:val="004744C0"/>
    <w:rsid w:val="0047556B"/>
    <w:rsid w:val="00475C6C"/>
    <w:rsid w:val="0047631A"/>
    <w:rsid w:val="004763D1"/>
    <w:rsid w:val="004765C1"/>
    <w:rsid w:val="00476929"/>
    <w:rsid w:val="00477768"/>
    <w:rsid w:val="004778F1"/>
    <w:rsid w:val="00477B5E"/>
    <w:rsid w:val="00477FFB"/>
    <w:rsid w:val="004808FD"/>
    <w:rsid w:val="004819CF"/>
    <w:rsid w:val="004821D5"/>
    <w:rsid w:val="004824B0"/>
    <w:rsid w:val="00483127"/>
    <w:rsid w:val="004834C3"/>
    <w:rsid w:val="004843B1"/>
    <w:rsid w:val="00484649"/>
    <w:rsid w:val="004853CE"/>
    <w:rsid w:val="00485A5D"/>
    <w:rsid w:val="0048618E"/>
    <w:rsid w:val="00486CB5"/>
    <w:rsid w:val="00487488"/>
    <w:rsid w:val="004875AC"/>
    <w:rsid w:val="004877E2"/>
    <w:rsid w:val="004878E1"/>
    <w:rsid w:val="00490604"/>
    <w:rsid w:val="00492BC5"/>
    <w:rsid w:val="004933EA"/>
    <w:rsid w:val="00493DBE"/>
    <w:rsid w:val="00494B81"/>
    <w:rsid w:val="00494C12"/>
    <w:rsid w:val="004952B7"/>
    <w:rsid w:val="00495533"/>
    <w:rsid w:val="0049566A"/>
    <w:rsid w:val="004957EC"/>
    <w:rsid w:val="004963CD"/>
    <w:rsid w:val="00496462"/>
    <w:rsid w:val="004964F1"/>
    <w:rsid w:val="004969FC"/>
    <w:rsid w:val="00496F4E"/>
    <w:rsid w:val="00497006"/>
    <w:rsid w:val="004973BE"/>
    <w:rsid w:val="004975FD"/>
    <w:rsid w:val="00497DA1"/>
    <w:rsid w:val="004A056F"/>
    <w:rsid w:val="004A0802"/>
    <w:rsid w:val="004A0D9A"/>
    <w:rsid w:val="004A16BC"/>
    <w:rsid w:val="004A170E"/>
    <w:rsid w:val="004A1C33"/>
    <w:rsid w:val="004A2164"/>
    <w:rsid w:val="004A2416"/>
    <w:rsid w:val="004A2B94"/>
    <w:rsid w:val="004A3092"/>
    <w:rsid w:val="004A4CED"/>
    <w:rsid w:val="004A515A"/>
    <w:rsid w:val="004A52A2"/>
    <w:rsid w:val="004A54CD"/>
    <w:rsid w:val="004A6952"/>
    <w:rsid w:val="004A6B9D"/>
    <w:rsid w:val="004A6FA3"/>
    <w:rsid w:val="004A7694"/>
    <w:rsid w:val="004A7AD8"/>
    <w:rsid w:val="004A7E6E"/>
    <w:rsid w:val="004B014E"/>
    <w:rsid w:val="004B01DD"/>
    <w:rsid w:val="004B0618"/>
    <w:rsid w:val="004B0AB7"/>
    <w:rsid w:val="004B20F8"/>
    <w:rsid w:val="004B31AC"/>
    <w:rsid w:val="004B3EF9"/>
    <w:rsid w:val="004B3F31"/>
    <w:rsid w:val="004B409C"/>
    <w:rsid w:val="004B491D"/>
    <w:rsid w:val="004B70A5"/>
    <w:rsid w:val="004B7821"/>
    <w:rsid w:val="004B7BFD"/>
    <w:rsid w:val="004B7C0C"/>
    <w:rsid w:val="004B7CA2"/>
    <w:rsid w:val="004C0D60"/>
    <w:rsid w:val="004C1682"/>
    <w:rsid w:val="004C1ABA"/>
    <w:rsid w:val="004C2E9F"/>
    <w:rsid w:val="004C315B"/>
    <w:rsid w:val="004C3653"/>
    <w:rsid w:val="004C3898"/>
    <w:rsid w:val="004C41EF"/>
    <w:rsid w:val="004C4904"/>
    <w:rsid w:val="004C4DA7"/>
    <w:rsid w:val="004C4E6A"/>
    <w:rsid w:val="004C5898"/>
    <w:rsid w:val="004C5E66"/>
    <w:rsid w:val="004C6355"/>
    <w:rsid w:val="004C6A37"/>
    <w:rsid w:val="004C6CB7"/>
    <w:rsid w:val="004C6D87"/>
    <w:rsid w:val="004C6DE7"/>
    <w:rsid w:val="004C755C"/>
    <w:rsid w:val="004D0121"/>
    <w:rsid w:val="004D021E"/>
    <w:rsid w:val="004D1C02"/>
    <w:rsid w:val="004D2209"/>
    <w:rsid w:val="004D2AF0"/>
    <w:rsid w:val="004D2CD3"/>
    <w:rsid w:val="004D2F47"/>
    <w:rsid w:val="004D3045"/>
    <w:rsid w:val="004D36B1"/>
    <w:rsid w:val="004D4FB4"/>
    <w:rsid w:val="004D57E5"/>
    <w:rsid w:val="004D7370"/>
    <w:rsid w:val="004D7B79"/>
    <w:rsid w:val="004D7EBD"/>
    <w:rsid w:val="004E0434"/>
    <w:rsid w:val="004E0903"/>
    <w:rsid w:val="004E0ABB"/>
    <w:rsid w:val="004E162A"/>
    <w:rsid w:val="004E25F2"/>
    <w:rsid w:val="004E2680"/>
    <w:rsid w:val="004E28F9"/>
    <w:rsid w:val="004E34E7"/>
    <w:rsid w:val="004E3AC0"/>
    <w:rsid w:val="004E462E"/>
    <w:rsid w:val="004E4678"/>
    <w:rsid w:val="004E4F2C"/>
    <w:rsid w:val="004E56DC"/>
    <w:rsid w:val="004E5746"/>
    <w:rsid w:val="004E6C24"/>
    <w:rsid w:val="004E6D4B"/>
    <w:rsid w:val="004E734C"/>
    <w:rsid w:val="004E7438"/>
    <w:rsid w:val="004E76F4"/>
    <w:rsid w:val="004F0501"/>
    <w:rsid w:val="004F064E"/>
    <w:rsid w:val="004F0B4E"/>
    <w:rsid w:val="004F0B6C"/>
    <w:rsid w:val="004F0D00"/>
    <w:rsid w:val="004F124A"/>
    <w:rsid w:val="004F2078"/>
    <w:rsid w:val="004F210A"/>
    <w:rsid w:val="004F2AE0"/>
    <w:rsid w:val="004F35E5"/>
    <w:rsid w:val="004F3C13"/>
    <w:rsid w:val="004F4200"/>
    <w:rsid w:val="004F4931"/>
    <w:rsid w:val="004F4AFB"/>
    <w:rsid w:val="004F4DA3"/>
    <w:rsid w:val="004F5AC4"/>
    <w:rsid w:val="004F6122"/>
    <w:rsid w:val="004F631E"/>
    <w:rsid w:val="004F6B70"/>
    <w:rsid w:val="004F7717"/>
    <w:rsid w:val="00501082"/>
    <w:rsid w:val="005013CC"/>
    <w:rsid w:val="005016E6"/>
    <w:rsid w:val="005026D4"/>
    <w:rsid w:val="00502A1B"/>
    <w:rsid w:val="00502F34"/>
    <w:rsid w:val="00503108"/>
    <w:rsid w:val="00503335"/>
    <w:rsid w:val="005035B7"/>
    <w:rsid w:val="0050379C"/>
    <w:rsid w:val="00504146"/>
    <w:rsid w:val="005049A5"/>
    <w:rsid w:val="00505423"/>
    <w:rsid w:val="0050628F"/>
    <w:rsid w:val="00506557"/>
    <w:rsid w:val="00506678"/>
    <w:rsid w:val="00506764"/>
    <w:rsid w:val="0050677A"/>
    <w:rsid w:val="005074E5"/>
    <w:rsid w:val="00507671"/>
    <w:rsid w:val="005079F9"/>
    <w:rsid w:val="0051067E"/>
    <w:rsid w:val="005108D8"/>
    <w:rsid w:val="00511164"/>
    <w:rsid w:val="005116F9"/>
    <w:rsid w:val="0051199C"/>
    <w:rsid w:val="005121FE"/>
    <w:rsid w:val="00512571"/>
    <w:rsid w:val="00512E79"/>
    <w:rsid w:val="00512FD4"/>
    <w:rsid w:val="00513242"/>
    <w:rsid w:val="005133FA"/>
    <w:rsid w:val="00513499"/>
    <w:rsid w:val="0051381B"/>
    <w:rsid w:val="00514B37"/>
    <w:rsid w:val="00514CF8"/>
    <w:rsid w:val="005150B5"/>
    <w:rsid w:val="005153A7"/>
    <w:rsid w:val="0051595C"/>
    <w:rsid w:val="0051690D"/>
    <w:rsid w:val="00517725"/>
    <w:rsid w:val="005178BC"/>
    <w:rsid w:val="00520327"/>
    <w:rsid w:val="005207D9"/>
    <w:rsid w:val="005215D8"/>
    <w:rsid w:val="005219CF"/>
    <w:rsid w:val="00521CAF"/>
    <w:rsid w:val="00521EBB"/>
    <w:rsid w:val="00522257"/>
    <w:rsid w:val="00524AC7"/>
    <w:rsid w:val="00525315"/>
    <w:rsid w:val="00525439"/>
    <w:rsid w:val="00526167"/>
    <w:rsid w:val="0052616B"/>
    <w:rsid w:val="00526464"/>
    <w:rsid w:val="00526998"/>
    <w:rsid w:val="00526B0A"/>
    <w:rsid w:val="005309B2"/>
    <w:rsid w:val="005314A7"/>
    <w:rsid w:val="005317B9"/>
    <w:rsid w:val="005321B3"/>
    <w:rsid w:val="00532FE6"/>
    <w:rsid w:val="00533152"/>
    <w:rsid w:val="005338D0"/>
    <w:rsid w:val="00533977"/>
    <w:rsid w:val="00533EA0"/>
    <w:rsid w:val="005342E2"/>
    <w:rsid w:val="00534459"/>
    <w:rsid w:val="00534B59"/>
    <w:rsid w:val="005350B8"/>
    <w:rsid w:val="005355E8"/>
    <w:rsid w:val="00535A40"/>
    <w:rsid w:val="00536759"/>
    <w:rsid w:val="00536D1C"/>
    <w:rsid w:val="00536FF6"/>
    <w:rsid w:val="00537C62"/>
    <w:rsid w:val="0054018A"/>
    <w:rsid w:val="005402C0"/>
    <w:rsid w:val="00540AAE"/>
    <w:rsid w:val="00542206"/>
    <w:rsid w:val="0054238A"/>
    <w:rsid w:val="00542897"/>
    <w:rsid w:val="0054302C"/>
    <w:rsid w:val="0054355D"/>
    <w:rsid w:val="00543AF9"/>
    <w:rsid w:val="00545492"/>
    <w:rsid w:val="00545CBE"/>
    <w:rsid w:val="005465AF"/>
    <w:rsid w:val="00546970"/>
    <w:rsid w:val="00546D31"/>
    <w:rsid w:val="00546D5A"/>
    <w:rsid w:val="00546FD0"/>
    <w:rsid w:val="00550001"/>
    <w:rsid w:val="005500B0"/>
    <w:rsid w:val="00550814"/>
    <w:rsid w:val="00551007"/>
    <w:rsid w:val="005517F4"/>
    <w:rsid w:val="005518BD"/>
    <w:rsid w:val="00551FE1"/>
    <w:rsid w:val="00553221"/>
    <w:rsid w:val="00553377"/>
    <w:rsid w:val="00553DD6"/>
    <w:rsid w:val="00553E17"/>
    <w:rsid w:val="005545B8"/>
    <w:rsid w:val="00554E19"/>
    <w:rsid w:val="00556504"/>
    <w:rsid w:val="00556E14"/>
    <w:rsid w:val="00560280"/>
    <w:rsid w:val="0056121F"/>
    <w:rsid w:val="00561658"/>
    <w:rsid w:val="005617CF"/>
    <w:rsid w:val="0056182D"/>
    <w:rsid w:val="00561C13"/>
    <w:rsid w:val="00561D43"/>
    <w:rsid w:val="005623B3"/>
    <w:rsid w:val="00562990"/>
    <w:rsid w:val="00562EB7"/>
    <w:rsid w:val="00563697"/>
    <w:rsid w:val="00563AEB"/>
    <w:rsid w:val="0056579B"/>
    <w:rsid w:val="00566450"/>
    <w:rsid w:val="005671AD"/>
    <w:rsid w:val="00567664"/>
    <w:rsid w:val="00567EEA"/>
    <w:rsid w:val="00567F21"/>
    <w:rsid w:val="00567F55"/>
    <w:rsid w:val="00570DA9"/>
    <w:rsid w:val="00570DAC"/>
    <w:rsid w:val="00570F73"/>
    <w:rsid w:val="00570F99"/>
    <w:rsid w:val="00572505"/>
    <w:rsid w:val="0057277C"/>
    <w:rsid w:val="00574366"/>
    <w:rsid w:val="00574915"/>
    <w:rsid w:val="0057509A"/>
    <w:rsid w:val="00575394"/>
    <w:rsid w:val="0057575D"/>
    <w:rsid w:val="00575B0F"/>
    <w:rsid w:val="00576006"/>
    <w:rsid w:val="005767E5"/>
    <w:rsid w:val="00577BB1"/>
    <w:rsid w:val="0058169C"/>
    <w:rsid w:val="0058172D"/>
    <w:rsid w:val="00581F3E"/>
    <w:rsid w:val="00582809"/>
    <w:rsid w:val="00582E08"/>
    <w:rsid w:val="00583C22"/>
    <w:rsid w:val="00583C62"/>
    <w:rsid w:val="00584668"/>
    <w:rsid w:val="005852E2"/>
    <w:rsid w:val="00585462"/>
    <w:rsid w:val="00586FEE"/>
    <w:rsid w:val="0058798C"/>
    <w:rsid w:val="005900FA"/>
    <w:rsid w:val="00590855"/>
    <w:rsid w:val="0059153D"/>
    <w:rsid w:val="005915F4"/>
    <w:rsid w:val="00591ADF"/>
    <w:rsid w:val="00591D01"/>
    <w:rsid w:val="00591F85"/>
    <w:rsid w:val="0059346F"/>
    <w:rsid w:val="005935A4"/>
    <w:rsid w:val="0059484A"/>
    <w:rsid w:val="005948C2"/>
    <w:rsid w:val="00594DD0"/>
    <w:rsid w:val="0059525F"/>
    <w:rsid w:val="005955D9"/>
    <w:rsid w:val="00595B60"/>
    <w:rsid w:val="00595DCA"/>
    <w:rsid w:val="00596BF0"/>
    <w:rsid w:val="0059779B"/>
    <w:rsid w:val="005A0A0F"/>
    <w:rsid w:val="005A209A"/>
    <w:rsid w:val="005A2941"/>
    <w:rsid w:val="005A2D3E"/>
    <w:rsid w:val="005A2DB9"/>
    <w:rsid w:val="005A31FB"/>
    <w:rsid w:val="005A3F97"/>
    <w:rsid w:val="005A4EE2"/>
    <w:rsid w:val="005A519F"/>
    <w:rsid w:val="005A5E91"/>
    <w:rsid w:val="005A6354"/>
    <w:rsid w:val="005A662D"/>
    <w:rsid w:val="005A74A1"/>
    <w:rsid w:val="005B17CD"/>
    <w:rsid w:val="005B1A6F"/>
    <w:rsid w:val="005B2C89"/>
    <w:rsid w:val="005B2E45"/>
    <w:rsid w:val="005B3064"/>
    <w:rsid w:val="005B3481"/>
    <w:rsid w:val="005B35D7"/>
    <w:rsid w:val="005B377F"/>
    <w:rsid w:val="005B392A"/>
    <w:rsid w:val="005B3AA3"/>
    <w:rsid w:val="005B4C1E"/>
    <w:rsid w:val="005B5CD9"/>
    <w:rsid w:val="005B6F83"/>
    <w:rsid w:val="005C1055"/>
    <w:rsid w:val="005C1E43"/>
    <w:rsid w:val="005C2797"/>
    <w:rsid w:val="005C2D16"/>
    <w:rsid w:val="005C2ED9"/>
    <w:rsid w:val="005C31DE"/>
    <w:rsid w:val="005C33E1"/>
    <w:rsid w:val="005C3B24"/>
    <w:rsid w:val="005C4532"/>
    <w:rsid w:val="005C495F"/>
    <w:rsid w:val="005C58D4"/>
    <w:rsid w:val="005C61F6"/>
    <w:rsid w:val="005C63AE"/>
    <w:rsid w:val="005C6D8A"/>
    <w:rsid w:val="005C74FB"/>
    <w:rsid w:val="005D080A"/>
    <w:rsid w:val="005D0E89"/>
    <w:rsid w:val="005D1602"/>
    <w:rsid w:val="005D1627"/>
    <w:rsid w:val="005D1B85"/>
    <w:rsid w:val="005D2414"/>
    <w:rsid w:val="005D2963"/>
    <w:rsid w:val="005D304C"/>
    <w:rsid w:val="005D382E"/>
    <w:rsid w:val="005D3A41"/>
    <w:rsid w:val="005D3B49"/>
    <w:rsid w:val="005D472A"/>
    <w:rsid w:val="005D528E"/>
    <w:rsid w:val="005D542C"/>
    <w:rsid w:val="005D5D93"/>
    <w:rsid w:val="005D610B"/>
    <w:rsid w:val="005D72CB"/>
    <w:rsid w:val="005D7561"/>
    <w:rsid w:val="005D775D"/>
    <w:rsid w:val="005E07ED"/>
    <w:rsid w:val="005E1AD0"/>
    <w:rsid w:val="005E2259"/>
    <w:rsid w:val="005E385F"/>
    <w:rsid w:val="005E3DE7"/>
    <w:rsid w:val="005E3EEB"/>
    <w:rsid w:val="005E5197"/>
    <w:rsid w:val="005E53B0"/>
    <w:rsid w:val="005E5B81"/>
    <w:rsid w:val="005E72E7"/>
    <w:rsid w:val="005E755A"/>
    <w:rsid w:val="005F14A2"/>
    <w:rsid w:val="005F15F5"/>
    <w:rsid w:val="005F19E3"/>
    <w:rsid w:val="005F2A0F"/>
    <w:rsid w:val="005F2CB1"/>
    <w:rsid w:val="005F3025"/>
    <w:rsid w:val="005F306C"/>
    <w:rsid w:val="005F3666"/>
    <w:rsid w:val="005F3A27"/>
    <w:rsid w:val="005F4627"/>
    <w:rsid w:val="005F618C"/>
    <w:rsid w:val="005F67C8"/>
    <w:rsid w:val="005F6A5D"/>
    <w:rsid w:val="005F70BD"/>
    <w:rsid w:val="005F7943"/>
    <w:rsid w:val="0060080E"/>
    <w:rsid w:val="00601161"/>
    <w:rsid w:val="0060179E"/>
    <w:rsid w:val="0060283C"/>
    <w:rsid w:val="0060374F"/>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0EDC"/>
    <w:rsid w:val="00611A89"/>
    <w:rsid w:val="00611B83"/>
    <w:rsid w:val="0061206D"/>
    <w:rsid w:val="00612611"/>
    <w:rsid w:val="00612756"/>
    <w:rsid w:val="00612775"/>
    <w:rsid w:val="00613257"/>
    <w:rsid w:val="00613299"/>
    <w:rsid w:val="0061569B"/>
    <w:rsid w:val="00615721"/>
    <w:rsid w:val="00616485"/>
    <w:rsid w:val="006169D7"/>
    <w:rsid w:val="006175CD"/>
    <w:rsid w:val="00620A71"/>
    <w:rsid w:val="00620B43"/>
    <w:rsid w:val="00620D80"/>
    <w:rsid w:val="00621341"/>
    <w:rsid w:val="00621559"/>
    <w:rsid w:val="006228B5"/>
    <w:rsid w:val="00622BDB"/>
    <w:rsid w:val="00622FBF"/>
    <w:rsid w:val="006234A6"/>
    <w:rsid w:val="006238C6"/>
    <w:rsid w:val="00624246"/>
    <w:rsid w:val="00624CB1"/>
    <w:rsid w:val="00624D23"/>
    <w:rsid w:val="0062523C"/>
    <w:rsid w:val="006254F5"/>
    <w:rsid w:val="006259A6"/>
    <w:rsid w:val="006268AF"/>
    <w:rsid w:val="006268C6"/>
    <w:rsid w:val="00626E34"/>
    <w:rsid w:val="0062725B"/>
    <w:rsid w:val="006273B1"/>
    <w:rsid w:val="00630001"/>
    <w:rsid w:val="00630780"/>
    <w:rsid w:val="00631012"/>
    <w:rsid w:val="006311B3"/>
    <w:rsid w:val="0063157F"/>
    <w:rsid w:val="00631D00"/>
    <w:rsid w:val="006326B6"/>
    <w:rsid w:val="0063284C"/>
    <w:rsid w:val="00632EA7"/>
    <w:rsid w:val="0063337E"/>
    <w:rsid w:val="006336AC"/>
    <w:rsid w:val="00633D83"/>
    <w:rsid w:val="00634E8E"/>
    <w:rsid w:val="006353F5"/>
    <w:rsid w:val="006355C2"/>
    <w:rsid w:val="00636398"/>
    <w:rsid w:val="006368D3"/>
    <w:rsid w:val="0063753A"/>
    <w:rsid w:val="00637729"/>
    <w:rsid w:val="006377EC"/>
    <w:rsid w:val="00640116"/>
    <w:rsid w:val="006401D0"/>
    <w:rsid w:val="00640CEE"/>
    <w:rsid w:val="0064151F"/>
    <w:rsid w:val="00641533"/>
    <w:rsid w:val="00641A44"/>
    <w:rsid w:val="0064208D"/>
    <w:rsid w:val="006421E2"/>
    <w:rsid w:val="0064345C"/>
    <w:rsid w:val="00643475"/>
    <w:rsid w:val="0064396A"/>
    <w:rsid w:val="00643A60"/>
    <w:rsid w:val="0064404C"/>
    <w:rsid w:val="0064503A"/>
    <w:rsid w:val="00645F60"/>
    <w:rsid w:val="0064624E"/>
    <w:rsid w:val="00647230"/>
    <w:rsid w:val="00650AB9"/>
    <w:rsid w:val="00650EEB"/>
    <w:rsid w:val="00651227"/>
    <w:rsid w:val="00651439"/>
    <w:rsid w:val="00653162"/>
    <w:rsid w:val="00653B2B"/>
    <w:rsid w:val="00655733"/>
    <w:rsid w:val="00655751"/>
    <w:rsid w:val="00655ACD"/>
    <w:rsid w:val="00655F1C"/>
    <w:rsid w:val="0065609B"/>
    <w:rsid w:val="006566A8"/>
    <w:rsid w:val="00656A92"/>
    <w:rsid w:val="00656DDE"/>
    <w:rsid w:val="00657E56"/>
    <w:rsid w:val="0066011D"/>
    <w:rsid w:val="006601C6"/>
    <w:rsid w:val="006607C0"/>
    <w:rsid w:val="006613A6"/>
    <w:rsid w:val="00661BCA"/>
    <w:rsid w:val="006623DD"/>
    <w:rsid w:val="006627A2"/>
    <w:rsid w:val="006634E6"/>
    <w:rsid w:val="0066359C"/>
    <w:rsid w:val="00663BF2"/>
    <w:rsid w:val="00663C2D"/>
    <w:rsid w:val="00663E40"/>
    <w:rsid w:val="00664971"/>
    <w:rsid w:val="006655EE"/>
    <w:rsid w:val="006669B6"/>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03"/>
    <w:rsid w:val="006777B6"/>
    <w:rsid w:val="00680143"/>
    <w:rsid w:val="0068021F"/>
    <w:rsid w:val="00680D2B"/>
    <w:rsid w:val="00681003"/>
    <w:rsid w:val="006817C9"/>
    <w:rsid w:val="006821D2"/>
    <w:rsid w:val="00682331"/>
    <w:rsid w:val="00682A5C"/>
    <w:rsid w:val="00682EA0"/>
    <w:rsid w:val="00683094"/>
    <w:rsid w:val="00683ECE"/>
    <w:rsid w:val="00684B5D"/>
    <w:rsid w:val="00684D0F"/>
    <w:rsid w:val="00684D7B"/>
    <w:rsid w:val="00685459"/>
    <w:rsid w:val="00686BEA"/>
    <w:rsid w:val="006874FF"/>
    <w:rsid w:val="0068771A"/>
    <w:rsid w:val="006906F0"/>
    <w:rsid w:val="00690B32"/>
    <w:rsid w:val="00691D35"/>
    <w:rsid w:val="00692288"/>
    <w:rsid w:val="00692947"/>
    <w:rsid w:val="00693420"/>
    <w:rsid w:val="00693825"/>
    <w:rsid w:val="00693EE0"/>
    <w:rsid w:val="0069540A"/>
    <w:rsid w:val="006956A6"/>
    <w:rsid w:val="00695BA8"/>
    <w:rsid w:val="00695FC2"/>
    <w:rsid w:val="0069601D"/>
    <w:rsid w:val="00696949"/>
    <w:rsid w:val="00697052"/>
    <w:rsid w:val="00697157"/>
    <w:rsid w:val="00697951"/>
    <w:rsid w:val="00697BAE"/>
    <w:rsid w:val="006A0A9A"/>
    <w:rsid w:val="006A1AF7"/>
    <w:rsid w:val="006A1E84"/>
    <w:rsid w:val="006A27A1"/>
    <w:rsid w:val="006A282A"/>
    <w:rsid w:val="006A3A20"/>
    <w:rsid w:val="006A3B54"/>
    <w:rsid w:val="006A4602"/>
    <w:rsid w:val="006A46FB"/>
    <w:rsid w:val="006A5E28"/>
    <w:rsid w:val="006A5E37"/>
    <w:rsid w:val="006A697B"/>
    <w:rsid w:val="006A7AFF"/>
    <w:rsid w:val="006B06EB"/>
    <w:rsid w:val="006B07F1"/>
    <w:rsid w:val="006B1816"/>
    <w:rsid w:val="006B1BE0"/>
    <w:rsid w:val="006B1D6F"/>
    <w:rsid w:val="006B1E42"/>
    <w:rsid w:val="006B2099"/>
    <w:rsid w:val="006B235E"/>
    <w:rsid w:val="006B23E1"/>
    <w:rsid w:val="006B2533"/>
    <w:rsid w:val="006B30F3"/>
    <w:rsid w:val="006B31F0"/>
    <w:rsid w:val="006B50CF"/>
    <w:rsid w:val="006B5460"/>
    <w:rsid w:val="006B639B"/>
    <w:rsid w:val="006B796F"/>
    <w:rsid w:val="006B7ED0"/>
    <w:rsid w:val="006C0238"/>
    <w:rsid w:val="006C03B8"/>
    <w:rsid w:val="006C100F"/>
    <w:rsid w:val="006C1F08"/>
    <w:rsid w:val="006C2A21"/>
    <w:rsid w:val="006C2B12"/>
    <w:rsid w:val="006C2FDC"/>
    <w:rsid w:val="006C3863"/>
    <w:rsid w:val="006C38B9"/>
    <w:rsid w:val="006C39AC"/>
    <w:rsid w:val="006C4A4B"/>
    <w:rsid w:val="006C4D67"/>
    <w:rsid w:val="006C4ECD"/>
    <w:rsid w:val="006C5678"/>
    <w:rsid w:val="006C5805"/>
    <w:rsid w:val="006C590F"/>
    <w:rsid w:val="006C5CFF"/>
    <w:rsid w:val="006C5EC9"/>
    <w:rsid w:val="006C6059"/>
    <w:rsid w:val="006C633B"/>
    <w:rsid w:val="006C6A31"/>
    <w:rsid w:val="006C6AE0"/>
    <w:rsid w:val="006C6CF7"/>
    <w:rsid w:val="006C7522"/>
    <w:rsid w:val="006D0B9C"/>
    <w:rsid w:val="006D1806"/>
    <w:rsid w:val="006D2406"/>
    <w:rsid w:val="006D2701"/>
    <w:rsid w:val="006D2768"/>
    <w:rsid w:val="006D27E8"/>
    <w:rsid w:val="006D2846"/>
    <w:rsid w:val="006D338F"/>
    <w:rsid w:val="006D3AC2"/>
    <w:rsid w:val="006D3AC9"/>
    <w:rsid w:val="006D4105"/>
    <w:rsid w:val="006D46E9"/>
    <w:rsid w:val="006D587C"/>
    <w:rsid w:val="006D59F3"/>
    <w:rsid w:val="006D5C05"/>
    <w:rsid w:val="006D630F"/>
    <w:rsid w:val="006D63B3"/>
    <w:rsid w:val="006D6F08"/>
    <w:rsid w:val="006D70A5"/>
    <w:rsid w:val="006D7606"/>
    <w:rsid w:val="006E04FE"/>
    <w:rsid w:val="006E05DF"/>
    <w:rsid w:val="006E062C"/>
    <w:rsid w:val="006E17F7"/>
    <w:rsid w:val="006E21EA"/>
    <w:rsid w:val="006E28B7"/>
    <w:rsid w:val="006E2B71"/>
    <w:rsid w:val="006E2CE3"/>
    <w:rsid w:val="006E2FB7"/>
    <w:rsid w:val="006E31BC"/>
    <w:rsid w:val="006E3310"/>
    <w:rsid w:val="006E35A5"/>
    <w:rsid w:val="006E3AC3"/>
    <w:rsid w:val="006E3D49"/>
    <w:rsid w:val="006E47BC"/>
    <w:rsid w:val="006E4C7F"/>
    <w:rsid w:val="006E4E39"/>
    <w:rsid w:val="006E50B5"/>
    <w:rsid w:val="006E565E"/>
    <w:rsid w:val="006E5C98"/>
    <w:rsid w:val="006E5FA3"/>
    <w:rsid w:val="006E673D"/>
    <w:rsid w:val="006E6EC8"/>
    <w:rsid w:val="006E7873"/>
    <w:rsid w:val="006E7898"/>
    <w:rsid w:val="006E7D3B"/>
    <w:rsid w:val="006F01B6"/>
    <w:rsid w:val="006F1B70"/>
    <w:rsid w:val="006F2117"/>
    <w:rsid w:val="006F21A8"/>
    <w:rsid w:val="006F2235"/>
    <w:rsid w:val="006F263E"/>
    <w:rsid w:val="006F2DD7"/>
    <w:rsid w:val="006F341D"/>
    <w:rsid w:val="006F3931"/>
    <w:rsid w:val="006F3CDE"/>
    <w:rsid w:val="006F415D"/>
    <w:rsid w:val="006F4344"/>
    <w:rsid w:val="006F4D8E"/>
    <w:rsid w:val="006F50BB"/>
    <w:rsid w:val="006F51DD"/>
    <w:rsid w:val="006F51E2"/>
    <w:rsid w:val="006F5639"/>
    <w:rsid w:val="006F574B"/>
    <w:rsid w:val="006F58D4"/>
    <w:rsid w:val="006F5C2C"/>
    <w:rsid w:val="006F5EBE"/>
    <w:rsid w:val="006F5F1B"/>
    <w:rsid w:val="006F6843"/>
    <w:rsid w:val="006F74C2"/>
    <w:rsid w:val="006F794B"/>
    <w:rsid w:val="006F7E6F"/>
    <w:rsid w:val="00700F32"/>
    <w:rsid w:val="00701BC8"/>
    <w:rsid w:val="00701EAD"/>
    <w:rsid w:val="00701FE4"/>
    <w:rsid w:val="00702B6B"/>
    <w:rsid w:val="0070346E"/>
    <w:rsid w:val="00704771"/>
    <w:rsid w:val="00704EDB"/>
    <w:rsid w:val="0070537F"/>
    <w:rsid w:val="007057B5"/>
    <w:rsid w:val="00706101"/>
    <w:rsid w:val="0070640D"/>
    <w:rsid w:val="0070658A"/>
    <w:rsid w:val="00706E18"/>
    <w:rsid w:val="00707072"/>
    <w:rsid w:val="00707319"/>
    <w:rsid w:val="00707D61"/>
    <w:rsid w:val="00707F10"/>
    <w:rsid w:val="007116B4"/>
    <w:rsid w:val="00711FF0"/>
    <w:rsid w:val="00712287"/>
    <w:rsid w:val="00712772"/>
    <w:rsid w:val="00712775"/>
    <w:rsid w:val="00712882"/>
    <w:rsid w:val="0071291B"/>
    <w:rsid w:val="00713308"/>
    <w:rsid w:val="007142F8"/>
    <w:rsid w:val="007145B7"/>
    <w:rsid w:val="007148D3"/>
    <w:rsid w:val="00715B9A"/>
    <w:rsid w:val="007160F6"/>
    <w:rsid w:val="00716359"/>
    <w:rsid w:val="00716977"/>
    <w:rsid w:val="007172A4"/>
    <w:rsid w:val="00717D52"/>
    <w:rsid w:val="00717EC8"/>
    <w:rsid w:val="00720129"/>
    <w:rsid w:val="0072063D"/>
    <w:rsid w:val="007207E0"/>
    <w:rsid w:val="00720A29"/>
    <w:rsid w:val="00720E14"/>
    <w:rsid w:val="00720FB2"/>
    <w:rsid w:val="0072123D"/>
    <w:rsid w:val="00721593"/>
    <w:rsid w:val="007217B4"/>
    <w:rsid w:val="007231C6"/>
    <w:rsid w:val="00723279"/>
    <w:rsid w:val="0072359E"/>
    <w:rsid w:val="0072441E"/>
    <w:rsid w:val="00725CDF"/>
    <w:rsid w:val="00726300"/>
    <w:rsid w:val="00726422"/>
    <w:rsid w:val="00726EA6"/>
    <w:rsid w:val="00727208"/>
    <w:rsid w:val="0072766F"/>
    <w:rsid w:val="00727680"/>
    <w:rsid w:val="00727BE1"/>
    <w:rsid w:val="007301DD"/>
    <w:rsid w:val="00731767"/>
    <w:rsid w:val="00733315"/>
    <w:rsid w:val="00733BDE"/>
    <w:rsid w:val="0073415E"/>
    <w:rsid w:val="00734874"/>
    <w:rsid w:val="007348B1"/>
    <w:rsid w:val="00734B23"/>
    <w:rsid w:val="007355F0"/>
    <w:rsid w:val="007356CD"/>
    <w:rsid w:val="007361C8"/>
    <w:rsid w:val="007362A6"/>
    <w:rsid w:val="00736657"/>
    <w:rsid w:val="0073666A"/>
    <w:rsid w:val="00736D7D"/>
    <w:rsid w:val="00737F7B"/>
    <w:rsid w:val="00740E58"/>
    <w:rsid w:val="007429DC"/>
    <w:rsid w:val="00744376"/>
    <w:rsid w:val="007445A0"/>
    <w:rsid w:val="0074524B"/>
    <w:rsid w:val="00745C9E"/>
    <w:rsid w:val="00746B70"/>
    <w:rsid w:val="00746CED"/>
    <w:rsid w:val="007474EC"/>
    <w:rsid w:val="00747BA4"/>
    <w:rsid w:val="00747D8B"/>
    <w:rsid w:val="00750FA1"/>
    <w:rsid w:val="00751228"/>
    <w:rsid w:val="007512FB"/>
    <w:rsid w:val="00752885"/>
    <w:rsid w:val="007529C3"/>
    <w:rsid w:val="00753850"/>
    <w:rsid w:val="007543B1"/>
    <w:rsid w:val="00754C5E"/>
    <w:rsid w:val="00755237"/>
    <w:rsid w:val="007552B3"/>
    <w:rsid w:val="00755349"/>
    <w:rsid w:val="007556C9"/>
    <w:rsid w:val="00755904"/>
    <w:rsid w:val="007560FD"/>
    <w:rsid w:val="0075619E"/>
    <w:rsid w:val="0075634C"/>
    <w:rsid w:val="007571E1"/>
    <w:rsid w:val="0075720C"/>
    <w:rsid w:val="00757633"/>
    <w:rsid w:val="00757746"/>
    <w:rsid w:val="007604B2"/>
    <w:rsid w:val="007616B3"/>
    <w:rsid w:val="00761953"/>
    <w:rsid w:val="00761E43"/>
    <w:rsid w:val="007630EA"/>
    <w:rsid w:val="00763A6D"/>
    <w:rsid w:val="00764CC5"/>
    <w:rsid w:val="00765281"/>
    <w:rsid w:val="00765381"/>
    <w:rsid w:val="007658A5"/>
    <w:rsid w:val="007658E6"/>
    <w:rsid w:val="00765AEE"/>
    <w:rsid w:val="00765B0D"/>
    <w:rsid w:val="00765BBF"/>
    <w:rsid w:val="00766BAD"/>
    <w:rsid w:val="00767A43"/>
    <w:rsid w:val="0077013A"/>
    <w:rsid w:val="00770154"/>
    <w:rsid w:val="00772534"/>
    <w:rsid w:val="00772584"/>
    <w:rsid w:val="007730BD"/>
    <w:rsid w:val="00773531"/>
    <w:rsid w:val="00773807"/>
    <w:rsid w:val="00773879"/>
    <w:rsid w:val="0077428B"/>
    <w:rsid w:val="00774895"/>
    <w:rsid w:val="007755F2"/>
    <w:rsid w:val="007762C9"/>
    <w:rsid w:val="00776971"/>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102"/>
    <w:rsid w:val="00783673"/>
    <w:rsid w:val="00783982"/>
    <w:rsid w:val="00783E02"/>
    <w:rsid w:val="00785490"/>
    <w:rsid w:val="007868B9"/>
    <w:rsid w:val="00786B35"/>
    <w:rsid w:val="00786B46"/>
    <w:rsid w:val="00786CB8"/>
    <w:rsid w:val="00786FAC"/>
    <w:rsid w:val="007875D4"/>
    <w:rsid w:val="0078790C"/>
    <w:rsid w:val="00787CEA"/>
    <w:rsid w:val="0079005B"/>
    <w:rsid w:val="00790AAA"/>
    <w:rsid w:val="00790B0C"/>
    <w:rsid w:val="00790E4F"/>
    <w:rsid w:val="00791088"/>
    <w:rsid w:val="00791950"/>
    <w:rsid w:val="00792412"/>
    <w:rsid w:val="007925EA"/>
    <w:rsid w:val="0079312C"/>
    <w:rsid w:val="00793245"/>
    <w:rsid w:val="0079384E"/>
    <w:rsid w:val="00793CD8"/>
    <w:rsid w:val="007941EF"/>
    <w:rsid w:val="007958D5"/>
    <w:rsid w:val="007959F1"/>
    <w:rsid w:val="00795AE2"/>
    <w:rsid w:val="00795C92"/>
    <w:rsid w:val="00795E6B"/>
    <w:rsid w:val="00795F6F"/>
    <w:rsid w:val="00796231"/>
    <w:rsid w:val="00796F14"/>
    <w:rsid w:val="00797F56"/>
    <w:rsid w:val="007A1CB3"/>
    <w:rsid w:val="007A2CF7"/>
    <w:rsid w:val="007A306F"/>
    <w:rsid w:val="007A3472"/>
    <w:rsid w:val="007A3C8F"/>
    <w:rsid w:val="007A4023"/>
    <w:rsid w:val="007A43A6"/>
    <w:rsid w:val="007A4A85"/>
    <w:rsid w:val="007A5274"/>
    <w:rsid w:val="007A55EF"/>
    <w:rsid w:val="007A58A6"/>
    <w:rsid w:val="007A6600"/>
    <w:rsid w:val="007A7354"/>
    <w:rsid w:val="007A7C57"/>
    <w:rsid w:val="007B1199"/>
    <w:rsid w:val="007B15A8"/>
    <w:rsid w:val="007B15C9"/>
    <w:rsid w:val="007B184B"/>
    <w:rsid w:val="007B1AAB"/>
    <w:rsid w:val="007B1C2B"/>
    <w:rsid w:val="007B27C6"/>
    <w:rsid w:val="007B2F2C"/>
    <w:rsid w:val="007B3702"/>
    <w:rsid w:val="007B3905"/>
    <w:rsid w:val="007B3D2D"/>
    <w:rsid w:val="007B4E76"/>
    <w:rsid w:val="007B4EB4"/>
    <w:rsid w:val="007B50AE"/>
    <w:rsid w:val="007B51DF"/>
    <w:rsid w:val="007B55A3"/>
    <w:rsid w:val="007B55AC"/>
    <w:rsid w:val="007B6FFF"/>
    <w:rsid w:val="007C05DD"/>
    <w:rsid w:val="007C0ACB"/>
    <w:rsid w:val="007C0E11"/>
    <w:rsid w:val="007C13ED"/>
    <w:rsid w:val="007C1EE8"/>
    <w:rsid w:val="007C20F6"/>
    <w:rsid w:val="007C24AB"/>
    <w:rsid w:val="007C2E19"/>
    <w:rsid w:val="007C3D18"/>
    <w:rsid w:val="007C3E73"/>
    <w:rsid w:val="007C4DA2"/>
    <w:rsid w:val="007C60BF"/>
    <w:rsid w:val="007C662F"/>
    <w:rsid w:val="007C6A07"/>
    <w:rsid w:val="007C71F3"/>
    <w:rsid w:val="007C7350"/>
    <w:rsid w:val="007C75A1"/>
    <w:rsid w:val="007C77A5"/>
    <w:rsid w:val="007D0457"/>
    <w:rsid w:val="007D04E5"/>
    <w:rsid w:val="007D0786"/>
    <w:rsid w:val="007D0EAF"/>
    <w:rsid w:val="007D1027"/>
    <w:rsid w:val="007D137B"/>
    <w:rsid w:val="007D1AC9"/>
    <w:rsid w:val="007D1FCB"/>
    <w:rsid w:val="007D1FFB"/>
    <w:rsid w:val="007D2815"/>
    <w:rsid w:val="007D29F2"/>
    <w:rsid w:val="007D2EA2"/>
    <w:rsid w:val="007D347F"/>
    <w:rsid w:val="007D4892"/>
    <w:rsid w:val="007D5309"/>
    <w:rsid w:val="007D58B4"/>
    <w:rsid w:val="007D5901"/>
    <w:rsid w:val="007D62AF"/>
    <w:rsid w:val="007D632D"/>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9FD"/>
    <w:rsid w:val="007E6C28"/>
    <w:rsid w:val="007E6EA4"/>
    <w:rsid w:val="007E6F09"/>
    <w:rsid w:val="007E7091"/>
    <w:rsid w:val="007E70BB"/>
    <w:rsid w:val="007E7521"/>
    <w:rsid w:val="007F03D1"/>
    <w:rsid w:val="007F0B67"/>
    <w:rsid w:val="007F1388"/>
    <w:rsid w:val="007F1713"/>
    <w:rsid w:val="007F3056"/>
    <w:rsid w:val="007F30B7"/>
    <w:rsid w:val="007F31D4"/>
    <w:rsid w:val="007F3AD7"/>
    <w:rsid w:val="007F469E"/>
    <w:rsid w:val="007F49C8"/>
    <w:rsid w:val="007F4A77"/>
    <w:rsid w:val="007F55EC"/>
    <w:rsid w:val="007F5D6F"/>
    <w:rsid w:val="007F6B18"/>
    <w:rsid w:val="007F7004"/>
    <w:rsid w:val="00800783"/>
    <w:rsid w:val="00800FF0"/>
    <w:rsid w:val="00801259"/>
    <w:rsid w:val="008019AB"/>
    <w:rsid w:val="00801AAC"/>
    <w:rsid w:val="0080223B"/>
    <w:rsid w:val="00802E78"/>
    <w:rsid w:val="00803FAE"/>
    <w:rsid w:val="0080409E"/>
    <w:rsid w:val="00804745"/>
    <w:rsid w:val="0080481B"/>
    <w:rsid w:val="0080503E"/>
    <w:rsid w:val="00805290"/>
    <w:rsid w:val="008052B8"/>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9C4"/>
    <w:rsid w:val="00817196"/>
    <w:rsid w:val="00817A92"/>
    <w:rsid w:val="00820A73"/>
    <w:rsid w:val="0082124D"/>
    <w:rsid w:val="00821EFC"/>
    <w:rsid w:val="00821F34"/>
    <w:rsid w:val="00822A3A"/>
    <w:rsid w:val="008235DB"/>
    <w:rsid w:val="008240B9"/>
    <w:rsid w:val="00824AB4"/>
    <w:rsid w:val="00824B02"/>
    <w:rsid w:val="008259D8"/>
    <w:rsid w:val="00825C42"/>
    <w:rsid w:val="00825D25"/>
    <w:rsid w:val="0082755A"/>
    <w:rsid w:val="00827D6F"/>
    <w:rsid w:val="00831DFA"/>
    <w:rsid w:val="00832376"/>
    <w:rsid w:val="00832794"/>
    <w:rsid w:val="00832C4C"/>
    <w:rsid w:val="0083321F"/>
    <w:rsid w:val="00833DE0"/>
    <w:rsid w:val="00834197"/>
    <w:rsid w:val="00834B41"/>
    <w:rsid w:val="00834B74"/>
    <w:rsid w:val="00834E03"/>
    <w:rsid w:val="008359E6"/>
    <w:rsid w:val="008362FC"/>
    <w:rsid w:val="00836307"/>
    <w:rsid w:val="008376AC"/>
    <w:rsid w:val="0083792B"/>
    <w:rsid w:val="00837D05"/>
    <w:rsid w:val="00837EDA"/>
    <w:rsid w:val="00837F6B"/>
    <w:rsid w:val="0084044A"/>
    <w:rsid w:val="008407DD"/>
    <w:rsid w:val="00841D38"/>
    <w:rsid w:val="0084436A"/>
    <w:rsid w:val="008444E8"/>
    <w:rsid w:val="00844E80"/>
    <w:rsid w:val="00845A39"/>
    <w:rsid w:val="00845B06"/>
    <w:rsid w:val="00846FE7"/>
    <w:rsid w:val="00847424"/>
    <w:rsid w:val="00847574"/>
    <w:rsid w:val="0084761B"/>
    <w:rsid w:val="008477CD"/>
    <w:rsid w:val="008479B5"/>
    <w:rsid w:val="00847E30"/>
    <w:rsid w:val="0085042A"/>
    <w:rsid w:val="00850CEC"/>
    <w:rsid w:val="00851ADE"/>
    <w:rsid w:val="00852C9F"/>
    <w:rsid w:val="0085347F"/>
    <w:rsid w:val="00854A60"/>
    <w:rsid w:val="0085544A"/>
    <w:rsid w:val="00855B06"/>
    <w:rsid w:val="00856911"/>
    <w:rsid w:val="00856917"/>
    <w:rsid w:val="00856B1D"/>
    <w:rsid w:val="00856BA4"/>
    <w:rsid w:val="00856C61"/>
    <w:rsid w:val="00857C3A"/>
    <w:rsid w:val="00857E8D"/>
    <w:rsid w:val="00857F60"/>
    <w:rsid w:val="00862397"/>
    <w:rsid w:val="0086251D"/>
    <w:rsid w:val="0086325B"/>
    <w:rsid w:val="00863435"/>
    <w:rsid w:val="00863F02"/>
    <w:rsid w:val="00866A86"/>
    <w:rsid w:val="008677FD"/>
    <w:rsid w:val="00867F7D"/>
    <w:rsid w:val="00867F91"/>
    <w:rsid w:val="0087043E"/>
    <w:rsid w:val="00870579"/>
    <w:rsid w:val="008706D4"/>
    <w:rsid w:val="00870997"/>
    <w:rsid w:val="00870F8A"/>
    <w:rsid w:val="0087129E"/>
    <w:rsid w:val="0087143B"/>
    <w:rsid w:val="00871527"/>
    <w:rsid w:val="008719A4"/>
    <w:rsid w:val="00871D23"/>
    <w:rsid w:val="0087287E"/>
    <w:rsid w:val="00872E79"/>
    <w:rsid w:val="00873732"/>
    <w:rsid w:val="0087429E"/>
    <w:rsid w:val="00874312"/>
    <w:rsid w:val="0087437C"/>
    <w:rsid w:val="00875032"/>
    <w:rsid w:val="00875CD7"/>
    <w:rsid w:val="00875E97"/>
    <w:rsid w:val="0087621E"/>
    <w:rsid w:val="00876466"/>
    <w:rsid w:val="00876B4D"/>
    <w:rsid w:val="0087707E"/>
    <w:rsid w:val="00877265"/>
    <w:rsid w:val="00877A0A"/>
    <w:rsid w:val="00877DB2"/>
    <w:rsid w:val="00877EF3"/>
    <w:rsid w:val="00877F18"/>
    <w:rsid w:val="008804BF"/>
    <w:rsid w:val="00880622"/>
    <w:rsid w:val="00880810"/>
    <w:rsid w:val="00882D5D"/>
    <w:rsid w:val="008833F5"/>
    <w:rsid w:val="008833FB"/>
    <w:rsid w:val="00883AAB"/>
    <w:rsid w:val="008840EF"/>
    <w:rsid w:val="008842A1"/>
    <w:rsid w:val="00885E87"/>
    <w:rsid w:val="00890432"/>
    <w:rsid w:val="00890571"/>
    <w:rsid w:val="00890C55"/>
    <w:rsid w:val="00890EBA"/>
    <w:rsid w:val="0089119A"/>
    <w:rsid w:val="00892215"/>
    <w:rsid w:val="00893BB0"/>
    <w:rsid w:val="00893EF3"/>
    <w:rsid w:val="00894419"/>
    <w:rsid w:val="00894520"/>
    <w:rsid w:val="00894594"/>
    <w:rsid w:val="0089460D"/>
    <w:rsid w:val="00894A88"/>
    <w:rsid w:val="00894D6D"/>
    <w:rsid w:val="0089529C"/>
    <w:rsid w:val="00895386"/>
    <w:rsid w:val="00895722"/>
    <w:rsid w:val="00895B85"/>
    <w:rsid w:val="00896A80"/>
    <w:rsid w:val="0089724F"/>
    <w:rsid w:val="008A041D"/>
    <w:rsid w:val="008A05D5"/>
    <w:rsid w:val="008A1C20"/>
    <w:rsid w:val="008A21F2"/>
    <w:rsid w:val="008A21FF"/>
    <w:rsid w:val="008A2CE2"/>
    <w:rsid w:val="008A30AC"/>
    <w:rsid w:val="008A4052"/>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5F4"/>
    <w:rsid w:val="008B592A"/>
    <w:rsid w:val="008B5CE9"/>
    <w:rsid w:val="008B5DC6"/>
    <w:rsid w:val="008B6712"/>
    <w:rsid w:val="008B7155"/>
    <w:rsid w:val="008B7B5C"/>
    <w:rsid w:val="008B7D6F"/>
    <w:rsid w:val="008C0613"/>
    <w:rsid w:val="008C0C99"/>
    <w:rsid w:val="008C0FD4"/>
    <w:rsid w:val="008C14B5"/>
    <w:rsid w:val="008C2017"/>
    <w:rsid w:val="008C256E"/>
    <w:rsid w:val="008C2AA7"/>
    <w:rsid w:val="008C38C7"/>
    <w:rsid w:val="008C42F8"/>
    <w:rsid w:val="008C45E3"/>
    <w:rsid w:val="008C4621"/>
    <w:rsid w:val="008C483A"/>
    <w:rsid w:val="008C4958"/>
    <w:rsid w:val="008C4BAA"/>
    <w:rsid w:val="008C4C64"/>
    <w:rsid w:val="008C55AE"/>
    <w:rsid w:val="008C6AE8"/>
    <w:rsid w:val="008C6D30"/>
    <w:rsid w:val="008C6DCD"/>
    <w:rsid w:val="008C7573"/>
    <w:rsid w:val="008D0A60"/>
    <w:rsid w:val="008D0C67"/>
    <w:rsid w:val="008D0DD9"/>
    <w:rsid w:val="008D1E9B"/>
    <w:rsid w:val="008D2874"/>
    <w:rsid w:val="008D2EF8"/>
    <w:rsid w:val="008D337A"/>
    <w:rsid w:val="008D346C"/>
    <w:rsid w:val="008D34F1"/>
    <w:rsid w:val="008D395B"/>
    <w:rsid w:val="008D39D8"/>
    <w:rsid w:val="008D4B3C"/>
    <w:rsid w:val="008D4BF2"/>
    <w:rsid w:val="008D500F"/>
    <w:rsid w:val="008D5CCD"/>
    <w:rsid w:val="008D6737"/>
    <w:rsid w:val="008D6AD5"/>
    <w:rsid w:val="008D6B29"/>
    <w:rsid w:val="008D6D1A"/>
    <w:rsid w:val="008E065E"/>
    <w:rsid w:val="008E07DC"/>
    <w:rsid w:val="008E0927"/>
    <w:rsid w:val="008E0F80"/>
    <w:rsid w:val="008E11CF"/>
    <w:rsid w:val="008E159E"/>
    <w:rsid w:val="008E1694"/>
    <w:rsid w:val="008E1723"/>
    <w:rsid w:val="008E1909"/>
    <w:rsid w:val="008E1D70"/>
    <w:rsid w:val="008E25F3"/>
    <w:rsid w:val="008E27AD"/>
    <w:rsid w:val="008E401E"/>
    <w:rsid w:val="008E42B0"/>
    <w:rsid w:val="008E482B"/>
    <w:rsid w:val="008E6605"/>
    <w:rsid w:val="008F10E9"/>
    <w:rsid w:val="008F1C35"/>
    <w:rsid w:val="008F1D4D"/>
    <w:rsid w:val="008F1EAB"/>
    <w:rsid w:val="008F33DC"/>
    <w:rsid w:val="008F3989"/>
    <w:rsid w:val="008F3DA0"/>
    <w:rsid w:val="008F477F"/>
    <w:rsid w:val="008F681B"/>
    <w:rsid w:val="008F6FD2"/>
    <w:rsid w:val="009001A6"/>
    <w:rsid w:val="00900AAC"/>
    <w:rsid w:val="00900F22"/>
    <w:rsid w:val="009013D1"/>
    <w:rsid w:val="00901F29"/>
    <w:rsid w:val="009020AD"/>
    <w:rsid w:val="009021F6"/>
    <w:rsid w:val="00902350"/>
    <w:rsid w:val="009024C4"/>
    <w:rsid w:val="00902A9A"/>
    <w:rsid w:val="0090336B"/>
    <w:rsid w:val="00903A3A"/>
    <w:rsid w:val="00904510"/>
    <w:rsid w:val="009053AA"/>
    <w:rsid w:val="00906939"/>
    <w:rsid w:val="009069F6"/>
    <w:rsid w:val="009075DE"/>
    <w:rsid w:val="0091019E"/>
    <w:rsid w:val="00910B7D"/>
    <w:rsid w:val="00911DFB"/>
    <w:rsid w:val="009139D9"/>
    <w:rsid w:val="00914178"/>
    <w:rsid w:val="009144AE"/>
    <w:rsid w:val="00914AD8"/>
    <w:rsid w:val="009154AA"/>
    <w:rsid w:val="009155D0"/>
    <w:rsid w:val="00915975"/>
    <w:rsid w:val="00916079"/>
    <w:rsid w:val="0091692E"/>
    <w:rsid w:val="00917948"/>
    <w:rsid w:val="00917CE9"/>
    <w:rsid w:val="00920358"/>
    <w:rsid w:val="00920A5E"/>
    <w:rsid w:val="00920B5C"/>
    <w:rsid w:val="00920BF2"/>
    <w:rsid w:val="00920E7D"/>
    <w:rsid w:val="009213F7"/>
    <w:rsid w:val="009215F7"/>
    <w:rsid w:val="0092160C"/>
    <w:rsid w:val="00921C62"/>
    <w:rsid w:val="00922010"/>
    <w:rsid w:val="0092236B"/>
    <w:rsid w:val="00922796"/>
    <w:rsid w:val="00922B0A"/>
    <w:rsid w:val="00922B4B"/>
    <w:rsid w:val="00922B9C"/>
    <w:rsid w:val="009245BB"/>
    <w:rsid w:val="009254C9"/>
    <w:rsid w:val="009279D3"/>
    <w:rsid w:val="00927B3F"/>
    <w:rsid w:val="00930CCF"/>
    <w:rsid w:val="00930E68"/>
    <w:rsid w:val="00931148"/>
    <w:rsid w:val="00931AFB"/>
    <w:rsid w:val="00931BD9"/>
    <w:rsid w:val="00932233"/>
    <w:rsid w:val="00932D0C"/>
    <w:rsid w:val="009335EE"/>
    <w:rsid w:val="009336BF"/>
    <w:rsid w:val="00933CC1"/>
    <w:rsid w:val="00934191"/>
    <w:rsid w:val="00936165"/>
    <w:rsid w:val="009368F3"/>
    <w:rsid w:val="00936EA7"/>
    <w:rsid w:val="00937DFF"/>
    <w:rsid w:val="00940E12"/>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6DE"/>
    <w:rsid w:val="00947713"/>
    <w:rsid w:val="009509A3"/>
    <w:rsid w:val="00950BC2"/>
    <w:rsid w:val="00950DE7"/>
    <w:rsid w:val="00951151"/>
    <w:rsid w:val="009511D6"/>
    <w:rsid w:val="0095226F"/>
    <w:rsid w:val="009533E3"/>
    <w:rsid w:val="00953454"/>
    <w:rsid w:val="00953920"/>
    <w:rsid w:val="00953D47"/>
    <w:rsid w:val="009545BB"/>
    <w:rsid w:val="00954F4F"/>
    <w:rsid w:val="00955BA3"/>
    <w:rsid w:val="0095681E"/>
    <w:rsid w:val="00956EFA"/>
    <w:rsid w:val="009572D4"/>
    <w:rsid w:val="009573BE"/>
    <w:rsid w:val="00957D3C"/>
    <w:rsid w:val="00960696"/>
    <w:rsid w:val="009613CD"/>
    <w:rsid w:val="00961921"/>
    <w:rsid w:val="00961D6E"/>
    <w:rsid w:val="009624FC"/>
    <w:rsid w:val="00962DAC"/>
    <w:rsid w:val="00962EB9"/>
    <w:rsid w:val="00963322"/>
    <w:rsid w:val="0096349B"/>
    <w:rsid w:val="00963E2F"/>
    <w:rsid w:val="0096430A"/>
    <w:rsid w:val="0096554B"/>
    <w:rsid w:val="0096584A"/>
    <w:rsid w:val="0096628C"/>
    <w:rsid w:val="00966B20"/>
    <w:rsid w:val="00966FD1"/>
    <w:rsid w:val="00966FDF"/>
    <w:rsid w:val="0096725B"/>
    <w:rsid w:val="00970E55"/>
    <w:rsid w:val="0097130C"/>
    <w:rsid w:val="00971F08"/>
    <w:rsid w:val="00971F94"/>
    <w:rsid w:val="00974723"/>
    <w:rsid w:val="00974F23"/>
    <w:rsid w:val="00975292"/>
    <w:rsid w:val="009759C5"/>
    <w:rsid w:val="0097602E"/>
    <w:rsid w:val="0097603D"/>
    <w:rsid w:val="009764B4"/>
    <w:rsid w:val="00976949"/>
    <w:rsid w:val="00976A48"/>
    <w:rsid w:val="00976C4B"/>
    <w:rsid w:val="00976F19"/>
    <w:rsid w:val="00980477"/>
    <w:rsid w:val="0098075D"/>
    <w:rsid w:val="00980967"/>
    <w:rsid w:val="0098168C"/>
    <w:rsid w:val="00981B5D"/>
    <w:rsid w:val="0098201C"/>
    <w:rsid w:val="009820FD"/>
    <w:rsid w:val="00982E8E"/>
    <w:rsid w:val="009834A9"/>
    <w:rsid w:val="0098420B"/>
    <w:rsid w:val="00984B75"/>
    <w:rsid w:val="009851A6"/>
    <w:rsid w:val="00985253"/>
    <w:rsid w:val="009853B3"/>
    <w:rsid w:val="00986322"/>
    <w:rsid w:val="00986F9F"/>
    <w:rsid w:val="009872A9"/>
    <w:rsid w:val="0098796A"/>
    <w:rsid w:val="00987D72"/>
    <w:rsid w:val="009902EF"/>
    <w:rsid w:val="00990630"/>
    <w:rsid w:val="00991007"/>
    <w:rsid w:val="0099175D"/>
    <w:rsid w:val="00991761"/>
    <w:rsid w:val="00991870"/>
    <w:rsid w:val="009924E3"/>
    <w:rsid w:val="00992516"/>
    <w:rsid w:val="0099299D"/>
    <w:rsid w:val="009929BE"/>
    <w:rsid w:val="0099487F"/>
    <w:rsid w:val="009948B6"/>
    <w:rsid w:val="00994DCA"/>
    <w:rsid w:val="00995DBD"/>
    <w:rsid w:val="009960EC"/>
    <w:rsid w:val="00996B44"/>
    <w:rsid w:val="00996ED7"/>
    <w:rsid w:val="009970DD"/>
    <w:rsid w:val="009977B1"/>
    <w:rsid w:val="00997ADB"/>
    <w:rsid w:val="00997BF9"/>
    <w:rsid w:val="009A00CA"/>
    <w:rsid w:val="009A0442"/>
    <w:rsid w:val="009A0927"/>
    <w:rsid w:val="009A0FBA"/>
    <w:rsid w:val="009A13E6"/>
    <w:rsid w:val="009A1601"/>
    <w:rsid w:val="009A162F"/>
    <w:rsid w:val="009A22E1"/>
    <w:rsid w:val="009A28B6"/>
    <w:rsid w:val="009A2DBD"/>
    <w:rsid w:val="009A38E7"/>
    <w:rsid w:val="009A462D"/>
    <w:rsid w:val="009A4858"/>
    <w:rsid w:val="009A4A8E"/>
    <w:rsid w:val="009A4AD1"/>
    <w:rsid w:val="009A5124"/>
    <w:rsid w:val="009A524B"/>
    <w:rsid w:val="009A5566"/>
    <w:rsid w:val="009A5737"/>
    <w:rsid w:val="009A5CBA"/>
    <w:rsid w:val="009A6BCF"/>
    <w:rsid w:val="009A7567"/>
    <w:rsid w:val="009B1F30"/>
    <w:rsid w:val="009B2F4F"/>
    <w:rsid w:val="009B3AC2"/>
    <w:rsid w:val="009B43DF"/>
    <w:rsid w:val="009B4DF4"/>
    <w:rsid w:val="009B511E"/>
    <w:rsid w:val="009B5283"/>
    <w:rsid w:val="009B535B"/>
    <w:rsid w:val="009B564E"/>
    <w:rsid w:val="009B655E"/>
    <w:rsid w:val="009B69D5"/>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A97"/>
    <w:rsid w:val="009C5E38"/>
    <w:rsid w:val="009C6D92"/>
    <w:rsid w:val="009C7790"/>
    <w:rsid w:val="009C79A4"/>
    <w:rsid w:val="009C7EF7"/>
    <w:rsid w:val="009D038A"/>
    <w:rsid w:val="009D0B6D"/>
    <w:rsid w:val="009D189F"/>
    <w:rsid w:val="009D1931"/>
    <w:rsid w:val="009D1A0A"/>
    <w:rsid w:val="009D1E0C"/>
    <w:rsid w:val="009D22A0"/>
    <w:rsid w:val="009D249B"/>
    <w:rsid w:val="009D318D"/>
    <w:rsid w:val="009D326D"/>
    <w:rsid w:val="009D389D"/>
    <w:rsid w:val="009D45B9"/>
    <w:rsid w:val="009D4E0A"/>
    <w:rsid w:val="009D4EED"/>
    <w:rsid w:val="009D4FF0"/>
    <w:rsid w:val="009D665B"/>
    <w:rsid w:val="009D66B1"/>
    <w:rsid w:val="009D671A"/>
    <w:rsid w:val="009D69BE"/>
    <w:rsid w:val="009D703C"/>
    <w:rsid w:val="009D718F"/>
    <w:rsid w:val="009D7272"/>
    <w:rsid w:val="009D7848"/>
    <w:rsid w:val="009D7FB5"/>
    <w:rsid w:val="009E03AA"/>
    <w:rsid w:val="009E068F"/>
    <w:rsid w:val="009E0901"/>
    <w:rsid w:val="009E0F56"/>
    <w:rsid w:val="009E14E0"/>
    <w:rsid w:val="009E16FF"/>
    <w:rsid w:val="009E3017"/>
    <w:rsid w:val="009E35DB"/>
    <w:rsid w:val="009E3781"/>
    <w:rsid w:val="009E3799"/>
    <w:rsid w:val="009E4342"/>
    <w:rsid w:val="009E47A3"/>
    <w:rsid w:val="009E4897"/>
    <w:rsid w:val="009E54B2"/>
    <w:rsid w:val="009E55B1"/>
    <w:rsid w:val="009E61F3"/>
    <w:rsid w:val="009E78E7"/>
    <w:rsid w:val="009E7A27"/>
    <w:rsid w:val="009E7E2D"/>
    <w:rsid w:val="009F08F3"/>
    <w:rsid w:val="009F0EBC"/>
    <w:rsid w:val="009F0ED5"/>
    <w:rsid w:val="009F0F28"/>
    <w:rsid w:val="009F1A60"/>
    <w:rsid w:val="009F2069"/>
    <w:rsid w:val="009F2B8D"/>
    <w:rsid w:val="009F344F"/>
    <w:rsid w:val="009F390C"/>
    <w:rsid w:val="009F427D"/>
    <w:rsid w:val="009F4B63"/>
    <w:rsid w:val="009F5E0B"/>
    <w:rsid w:val="009F5E13"/>
    <w:rsid w:val="009F5E2F"/>
    <w:rsid w:val="009F5EAE"/>
    <w:rsid w:val="009F7114"/>
    <w:rsid w:val="009F7437"/>
    <w:rsid w:val="00A00D59"/>
    <w:rsid w:val="00A01189"/>
    <w:rsid w:val="00A0185F"/>
    <w:rsid w:val="00A01D47"/>
    <w:rsid w:val="00A02E5F"/>
    <w:rsid w:val="00A03AE4"/>
    <w:rsid w:val="00A0407B"/>
    <w:rsid w:val="00A048A8"/>
    <w:rsid w:val="00A04B30"/>
    <w:rsid w:val="00A04F49"/>
    <w:rsid w:val="00A05340"/>
    <w:rsid w:val="00A05E49"/>
    <w:rsid w:val="00A0635D"/>
    <w:rsid w:val="00A0642B"/>
    <w:rsid w:val="00A0672A"/>
    <w:rsid w:val="00A06CD3"/>
    <w:rsid w:val="00A06FA2"/>
    <w:rsid w:val="00A1051C"/>
    <w:rsid w:val="00A1094B"/>
    <w:rsid w:val="00A10999"/>
    <w:rsid w:val="00A10CD6"/>
    <w:rsid w:val="00A11AE0"/>
    <w:rsid w:val="00A12C38"/>
    <w:rsid w:val="00A13E54"/>
    <w:rsid w:val="00A14582"/>
    <w:rsid w:val="00A14B72"/>
    <w:rsid w:val="00A14F4E"/>
    <w:rsid w:val="00A15C12"/>
    <w:rsid w:val="00A1673D"/>
    <w:rsid w:val="00A16AF3"/>
    <w:rsid w:val="00A16CCA"/>
    <w:rsid w:val="00A17EBF"/>
    <w:rsid w:val="00A17F63"/>
    <w:rsid w:val="00A20379"/>
    <w:rsid w:val="00A209D4"/>
    <w:rsid w:val="00A20E07"/>
    <w:rsid w:val="00A2193B"/>
    <w:rsid w:val="00A2279A"/>
    <w:rsid w:val="00A2351A"/>
    <w:rsid w:val="00A23801"/>
    <w:rsid w:val="00A23F02"/>
    <w:rsid w:val="00A241CC"/>
    <w:rsid w:val="00A2474B"/>
    <w:rsid w:val="00A24A70"/>
    <w:rsid w:val="00A24C36"/>
    <w:rsid w:val="00A256F8"/>
    <w:rsid w:val="00A25F99"/>
    <w:rsid w:val="00A260E5"/>
    <w:rsid w:val="00A26473"/>
    <w:rsid w:val="00A264A9"/>
    <w:rsid w:val="00A26879"/>
    <w:rsid w:val="00A268DF"/>
    <w:rsid w:val="00A26D56"/>
    <w:rsid w:val="00A27785"/>
    <w:rsid w:val="00A27829"/>
    <w:rsid w:val="00A30187"/>
    <w:rsid w:val="00A303A7"/>
    <w:rsid w:val="00A304D2"/>
    <w:rsid w:val="00A30775"/>
    <w:rsid w:val="00A30B36"/>
    <w:rsid w:val="00A3175E"/>
    <w:rsid w:val="00A32CF3"/>
    <w:rsid w:val="00A33967"/>
    <w:rsid w:val="00A3448A"/>
    <w:rsid w:val="00A345C0"/>
    <w:rsid w:val="00A35AE2"/>
    <w:rsid w:val="00A36297"/>
    <w:rsid w:val="00A365D2"/>
    <w:rsid w:val="00A36BD9"/>
    <w:rsid w:val="00A3720D"/>
    <w:rsid w:val="00A37380"/>
    <w:rsid w:val="00A37E42"/>
    <w:rsid w:val="00A400CD"/>
    <w:rsid w:val="00A4151F"/>
    <w:rsid w:val="00A41966"/>
    <w:rsid w:val="00A41E2B"/>
    <w:rsid w:val="00A42616"/>
    <w:rsid w:val="00A43184"/>
    <w:rsid w:val="00A436F3"/>
    <w:rsid w:val="00A4478E"/>
    <w:rsid w:val="00A44A9C"/>
    <w:rsid w:val="00A45639"/>
    <w:rsid w:val="00A45B74"/>
    <w:rsid w:val="00A45C97"/>
    <w:rsid w:val="00A47931"/>
    <w:rsid w:val="00A5014C"/>
    <w:rsid w:val="00A50307"/>
    <w:rsid w:val="00A5094F"/>
    <w:rsid w:val="00A50D8F"/>
    <w:rsid w:val="00A519AE"/>
    <w:rsid w:val="00A51E0C"/>
    <w:rsid w:val="00A52210"/>
    <w:rsid w:val="00A5266E"/>
    <w:rsid w:val="00A52C03"/>
    <w:rsid w:val="00A52E1D"/>
    <w:rsid w:val="00A52F7D"/>
    <w:rsid w:val="00A533BF"/>
    <w:rsid w:val="00A54279"/>
    <w:rsid w:val="00A54D8D"/>
    <w:rsid w:val="00A557F7"/>
    <w:rsid w:val="00A55B22"/>
    <w:rsid w:val="00A55B28"/>
    <w:rsid w:val="00A5629A"/>
    <w:rsid w:val="00A56798"/>
    <w:rsid w:val="00A56FE3"/>
    <w:rsid w:val="00A5758E"/>
    <w:rsid w:val="00A57977"/>
    <w:rsid w:val="00A60896"/>
    <w:rsid w:val="00A60B8E"/>
    <w:rsid w:val="00A61499"/>
    <w:rsid w:val="00A614AE"/>
    <w:rsid w:val="00A623AD"/>
    <w:rsid w:val="00A62A77"/>
    <w:rsid w:val="00A62DD4"/>
    <w:rsid w:val="00A63483"/>
    <w:rsid w:val="00A634A9"/>
    <w:rsid w:val="00A63BEA"/>
    <w:rsid w:val="00A644CA"/>
    <w:rsid w:val="00A64658"/>
    <w:rsid w:val="00A64A69"/>
    <w:rsid w:val="00A6529E"/>
    <w:rsid w:val="00A657D7"/>
    <w:rsid w:val="00A659CC"/>
    <w:rsid w:val="00A65E06"/>
    <w:rsid w:val="00A660AC"/>
    <w:rsid w:val="00A6687C"/>
    <w:rsid w:val="00A67554"/>
    <w:rsid w:val="00A6760C"/>
    <w:rsid w:val="00A67E6C"/>
    <w:rsid w:val="00A67FB1"/>
    <w:rsid w:val="00A70BF1"/>
    <w:rsid w:val="00A7194D"/>
    <w:rsid w:val="00A71B99"/>
    <w:rsid w:val="00A71F88"/>
    <w:rsid w:val="00A72E28"/>
    <w:rsid w:val="00A730C4"/>
    <w:rsid w:val="00A733D2"/>
    <w:rsid w:val="00A739D0"/>
    <w:rsid w:val="00A73A0D"/>
    <w:rsid w:val="00A73B9B"/>
    <w:rsid w:val="00A75D39"/>
    <w:rsid w:val="00A761D4"/>
    <w:rsid w:val="00A76DBB"/>
    <w:rsid w:val="00A7706C"/>
    <w:rsid w:val="00A77EC4"/>
    <w:rsid w:val="00A80575"/>
    <w:rsid w:val="00A80AC7"/>
    <w:rsid w:val="00A81256"/>
    <w:rsid w:val="00A83D7F"/>
    <w:rsid w:val="00A855D4"/>
    <w:rsid w:val="00A862D4"/>
    <w:rsid w:val="00A90CFA"/>
    <w:rsid w:val="00A9136F"/>
    <w:rsid w:val="00A91F1F"/>
    <w:rsid w:val="00A924A6"/>
    <w:rsid w:val="00A92879"/>
    <w:rsid w:val="00A93357"/>
    <w:rsid w:val="00A93E4E"/>
    <w:rsid w:val="00A9442A"/>
    <w:rsid w:val="00A94B28"/>
    <w:rsid w:val="00A94B9D"/>
    <w:rsid w:val="00A94D8B"/>
    <w:rsid w:val="00A951DB"/>
    <w:rsid w:val="00A956B7"/>
    <w:rsid w:val="00A956F8"/>
    <w:rsid w:val="00A95CD7"/>
    <w:rsid w:val="00A97BC4"/>
    <w:rsid w:val="00A97F16"/>
    <w:rsid w:val="00AA016F"/>
    <w:rsid w:val="00AA0F66"/>
    <w:rsid w:val="00AA0FCD"/>
    <w:rsid w:val="00AA1ED6"/>
    <w:rsid w:val="00AA20D0"/>
    <w:rsid w:val="00AA2C82"/>
    <w:rsid w:val="00AA330A"/>
    <w:rsid w:val="00AA33C1"/>
    <w:rsid w:val="00AA361D"/>
    <w:rsid w:val="00AA43F2"/>
    <w:rsid w:val="00AA51D6"/>
    <w:rsid w:val="00AA5A4B"/>
    <w:rsid w:val="00AA5D1E"/>
    <w:rsid w:val="00AB028A"/>
    <w:rsid w:val="00AB03C6"/>
    <w:rsid w:val="00AB0BC8"/>
    <w:rsid w:val="00AB11CA"/>
    <w:rsid w:val="00AB1303"/>
    <w:rsid w:val="00AB14D9"/>
    <w:rsid w:val="00AB1F9E"/>
    <w:rsid w:val="00AB2F6B"/>
    <w:rsid w:val="00AB3938"/>
    <w:rsid w:val="00AB3A48"/>
    <w:rsid w:val="00AB3F33"/>
    <w:rsid w:val="00AB4AB8"/>
    <w:rsid w:val="00AB655E"/>
    <w:rsid w:val="00AB7BB9"/>
    <w:rsid w:val="00AC007F"/>
    <w:rsid w:val="00AC0554"/>
    <w:rsid w:val="00AC08AA"/>
    <w:rsid w:val="00AC0C93"/>
    <w:rsid w:val="00AC0FF8"/>
    <w:rsid w:val="00AC1C05"/>
    <w:rsid w:val="00AC2A81"/>
    <w:rsid w:val="00AC2ECD"/>
    <w:rsid w:val="00AC3119"/>
    <w:rsid w:val="00AC3D10"/>
    <w:rsid w:val="00AC49FB"/>
    <w:rsid w:val="00AC4BBF"/>
    <w:rsid w:val="00AC550F"/>
    <w:rsid w:val="00AC5A10"/>
    <w:rsid w:val="00AC675A"/>
    <w:rsid w:val="00AC681E"/>
    <w:rsid w:val="00AC6CC7"/>
    <w:rsid w:val="00AC733C"/>
    <w:rsid w:val="00AC7B22"/>
    <w:rsid w:val="00AD00BB"/>
    <w:rsid w:val="00AD0380"/>
    <w:rsid w:val="00AD0AA3"/>
    <w:rsid w:val="00AD122E"/>
    <w:rsid w:val="00AD20C4"/>
    <w:rsid w:val="00AD22E6"/>
    <w:rsid w:val="00AD236B"/>
    <w:rsid w:val="00AD2C54"/>
    <w:rsid w:val="00AD3763"/>
    <w:rsid w:val="00AD3F94"/>
    <w:rsid w:val="00AD4A5A"/>
    <w:rsid w:val="00AD51ED"/>
    <w:rsid w:val="00AD59E2"/>
    <w:rsid w:val="00AD5F22"/>
    <w:rsid w:val="00AD62BC"/>
    <w:rsid w:val="00AD6DAC"/>
    <w:rsid w:val="00AD7C52"/>
    <w:rsid w:val="00AE0470"/>
    <w:rsid w:val="00AE07E6"/>
    <w:rsid w:val="00AE098D"/>
    <w:rsid w:val="00AE0B14"/>
    <w:rsid w:val="00AE0C21"/>
    <w:rsid w:val="00AE23EE"/>
    <w:rsid w:val="00AE2540"/>
    <w:rsid w:val="00AE27AC"/>
    <w:rsid w:val="00AE3981"/>
    <w:rsid w:val="00AE3CC3"/>
    <w:rsid w:val="00AE3E93"/>
    <w:rsid w:val="00AE40E0"/>
    <w:rsid w:val="00AE4D2F"/>
    <w:rsid w:val="00AE4DBA"/>
    <w:rsid w:val="00AE4F07"/>
    <w:rsid w:val="00AE6F9E"/>
    <w:rsid w:val="00AE72C7"/>
    <w:rsid w:val="00AE743A"/>
    <w:rsid w:val="00AF08CA"/>
    <w:rsid w:val="00AF1C5D"/>
    <w:rsid w:val="00AF25D5"/>
    <w:rsid w:val="00AF2DE7"/>
    <w:rsid w:val="00AF32DD"/>
    <w:rsid w:val="00AF345A"/>
    <w:rsid w:val="00AF3629"/>
    <w:rsid w:val="00AF3AF2"/>
    <w:rsid w:val="00AF3D10"/>
    <w:rsid w:val="00AF3F4F"/>
    <w:rsid w:val="00AF42D7"/>
    <w:rsid w:val="00AF4523"/>
    <w:rsid w:val="00AF4759"/>
    <w:rsid w:val="00AF482C"/>
    <w:rsid w:val="00AF5AEF"/>
    <w:rsid w:val="00AF5D3C"/>
    <w:rsid w:val="00AF5E19"/>
    <w:rsid w:val="00AF6371"/>
    <w:rsid w:val="00AF6A8B"/>
    <w:rsid w:val="00AF6FDE"/>
    <w:rsid w:val="00AF7121"/>
    <w:rsid w:val="00AF7E04"/>
    <w:rsid w:val="00B00240"/>
    <w:rsid w:val="00B006FE"/>
    <w:rsid w:val="00B007CB"/>
    <w:rsid w:val="00B01D07"/>
    <w:rsid w:val="00B025D7"/>
    <w:rsid w:val="00B02A2D"/>
    <w:rsid w:val="00B02A43"/>
    <w:rsid w:val="00B02AA9"/>
    <w:rsid w:val="00B02B82"/>
    <w:rsid w:val="00B02FA3"/>
    <w:rsid w:val="00B03429"/>
    <w:rsid w:val="00B047FD"/>
    <w:rsid w:val="00B04DD2"/>
    <w:rsid w:val="00B04E96"/>
    <w:rsid w:val="00B05084"/>
    <w:rsid w:val="00B051D7"/>
    <w:rsid w:val="00B0592F"/>
    <w:rsid w:val="00B05BDA"/>
    <w:rsid w:val="00B05E95"/>
    <w:rsid w:val="00B0737B"/>
    <w:rsid w:val="00B07961"/>
    <w:rsid w:val="00B07EBA"/>
    <w:rsid w:val="00B100B9"/>
    <w:rsid w:val="00B1052A"/>
    <w:rsid w:val="00B105F6"/>
    <w:rsid w:val="00B11415"/>
    <w:rsid w:val="00B125E5"/>
    <w:rsid w:val="00B125F7"/>
    <w:rsid w:val="00B139E0"/>
    <w:rsid w:val="00B13E74"/>
    <w:rsid w:val="00B152F4"/>
    <w:rsid w:val="00B1542D"/>
    <w:rsid w:val="00B157F9"/>
    <w:rsid w:val="00B15F66"/>
    <w:rsid w:val="00B16272"/>
    <w:rsid w:val="00B167F1"/>
    <w:rsid w:val="00B16FFF"/>
    <w:rsid w:val="00B17033"/>
    <w:rsid w:val="00B176C4"/>
    <w:rsid w:val="00B177FE"/>
    <w:rsid w:val="00B20256"/>
    <w:rsid w:val="00B2074F"/>
    <w:rsid w:val="00B2097E"/>
    <w:rsid w:val="00B20D09"/>
    <w:rsid w:val="00B2133E"/>
    <w:rsid w:val="00B21604"/>
    <w:rsid w:val="00B21DEF"/>
    <w:rsid w:val="00B22A95"/>
    <w:rsid w:val="00B22AC0"/>
    <w:rsid w:val="00B23230"/>
    <w:rsid w:val="00B23AE8"/>
    <w:rsid w:val="00B23CC2"/>
    <w:rsid w:val="00B2712A"/>
    <w:rsid w:val="00B2763F"/>
    <w:rsid w:val="00B27853"/>
    <w:rsid w:val="00B27AAC"/>
    <w:rsid w:val="00B302FA"/>
    <w:rsid w:val="00B30929"/>
    <w:rsid w:val="00B313B4"/>
    <w:rsid w:val="00B31FE9"/>
    <w:rsid w:val="00B32B61"/>
    <w:rsid w:val="00B32E9F"/>
    <w:rsid w:val="00B338BE"/>
    <w:rsid w:val="00B33EE9"/>
    <w:rsid w:val="00B342C7"/>
    <w:rsid w:val="00B3594E"/>
    <w:rsid w:val="00B35A60"/>
    <w:rsid w:val="00B35B96"/>
    <w:rsid w:val="00B35BEB"/>
    <w:rsid w:val="00B361F4"/>
    <w:rsid w:val="00B3720E"/>
    <w:rsid w:val="00B372AA"/>
    <w:rsid w:val="00B37351"/>
    <w:rsid w:val="00B40445"/>
    <w:rsid w:val="00B40474"/>
    <w:rsid w:val="00B40BA1"/>
    <w:rsid w:val="00B41888"/>
    <w:rsid w:val="00B42655"/>
    <w:rsid w:val="00B4297F"/>
    <w:rsid w:val="00B44118"/>
    <w:rsid w:val="00B45A52"/>
    <w:rsid w:val="00B46175"/>
    <w:rsid w:val="00B46AD4"/>
    <w:rsid w:val="00B46E76"/>
    <w:rsid w:val="00B47BEE"/>
    <w:rsid w:val="00B47EDA"/>
    <w:rsid w:val="00B50B57"/>
    <w:rsid w:val="00B50C4B"/>
    <w:rsid w:val="00B51602"/>
    <w:rsid w:val="00B51FEE"/>
    <w:rsid w:val="00B52A53"/>
    <w:rsid w:val="00B52A99"/>
    <w:rsid w:val="00B52D7F"/>
    <w:rsid w:val="00B53ED8"/>
    <w:rsid w:val="00B54FC5"/>
    <w:rsid w:val="00B567ED"/>
    <w:rsid w:val="00B56916"/>
    <w:rsid w:val="00B571BA"/>
    <w:rsid w:val="00B5776E"/>
    <w:rsid w:val="00B5784B"/>
    <w:rsid w:val="00B57A22"/>
    <w:rsid w:val="00B57F58"/>
    <w:rsid w:val="00B6021E"/>
    <w:rsid w:val="00B603CD"/>
    <w:rsid w:val="00B604C1"/>
    <w:rsid w:val="00B60F10"/>
    <w:rsid w:val="00B61000"/>
    <w:rsid w:val="00B626E7"/>
    <w:rsid w:val="00B62AAA"/>
    <w:rsid w:val="00B62B11"/>
    <w:rsid w:val="00B62CB5"/>
    <w:rsid w:val="00B6366E"/>
    <w:rsid w:val="00B64259"/>
    <w:rsid w:val="00B6553E"/>
    <w:rsid w:val="00B658B9"/>
    <w:rsid w:val="00B66345"/>
    <w:rsid w:val="00B664C7"/>
    <w:rsid w:val="00B669B8"/>
    <w:rsid w:val="00B70733"/>
    <w:rsid w:val="00B716B4"/>
    <w:rsid w:val="00B739F6"/>
    <w:rsid w:val="00B74D07"/>
    <w:rsid w:val="00B75A18"/>
    <w:rsid w:val="00B75C40"/>
    <w:rsid w:val="00B75D28"/>
    <w:rsid w:val="00B76814"/>
    <w:rsid w:val="00B768FE"/>
    <w:rsid w:val="00B76AE7"/>
    <w:rsid w:val="00B76EA2"/>
    <w:rsid w:val="00B76EFA"/>
    <w:rsid w:val="00B77A05"/>
    <w:rsid w:val="00B77A81"/>
    <w:rsid w:val="00B77D15"/>
    <w:rsid w:val="00B77EC9"/>
    <w:rsid w:val="00B80475"/>
    <w:rsid w:val="00B81698"/>
    <w:rsid w:val="00B81A6C"/>
    <w:rsid w:val="00B81AD8"/>
    <w:rsid w:val="00B82151"/>
    <w:rsid w:val="00B82BEB"/>
    <w:rsid w:val="00B84708"/>
    <w:rsid w:val="00B855E5"/>
    <w:rsid w:val="00B856F3"/>
    <w:rsid w:val="00B85AAC"/>
    <w:rsid w:val="00B85C67"/>
    <w:rsid w:val="00B85DE5"/>
    <w:rsid w:val="00B864C8"/>
    <w:rsid w:val="00B8681D"/>
    <w:rsid w:val="00B86D1E"/>
    <w:rsid w:val="00B87BC5"/>
    <w:rsid w:val="00B90031"/>
    <w:rsid w:val="00B906C8"/>
    <w:rsid w:val="00B90739"/>
    <w:rsid w:val="00B90F73"/>
    <w:rsid w:val="00B91DE3"/>
    <w:rsid w:val="00B923B3"/>
    <w:rsid w:val="00B92526"/>
    <w:rsid w:val="00B929A6"/>
    <w:rsid w:val="00B92DAF"/>
    <w:rsid w:val="00B92F19"/>
    <w:rsid w:val="00B9322F"/>
    <w:rsid w:val="00B93427"/>
    <w:rsid w:val="00B934D5"/>
    <w:rsid w:val="00B936A3"/>
    <w:rsid w:val="00B93B55"/>
    <w:rsid w:val="00B93B59"/>
    <w:rsid w:val="00B9406A"/>
    <w:rsid w:val="00B94E68"/>
    <w:rsid w:val="00B951DC"/>
    <w:rsid w:val="00B9530B"/>
    <w:rsid w:val="00B96A62"/>
    <w:rsid w:val="00B973B9"/>
    <w:rsid w:val="00B97945"/>
    <w:rsid w:val="00B97F52"/>
    <w:rsid w:val="00BA1C25"/>
    <w:rsid w:val="00BA2280"/>
    <w:rsid w:val="00BA2A08"/>
    <w:rsid w:val="00BA34C0"/>
    <w:rsid w:val="00BA3F6C"/>
    <w:rsid w:val="00BA47B3"/>
    <w:rsid w:val="00BA49CB"/>
    <w:rsid w:val="00BA4AAB"/>
    <w:rsid w:val="00BA4F1E"/>
    <w:rsid w:val="00BA56D2"/>
    <w:rsid w:val="00BA592D"/>
    <w:rsid w:val="00BA76E0"/>
    <w:rsid w:val="00BA7B78"/>
    <w:rsid w:val="00BB026C"/>
    <w:rsid w:val="00BB0D37"/>
    <w:rsid w:val="00BB14C4"/>
    <w:rsid w:val="00BB2A25"/>
    <w:rsid w:val="00BB36D4"/>
    <w:rsid w:val="00BB4495"/>
    <w:rsid w:val="00BB51E9"/>
    <w:rsid w:val="00BB52BF"/>
    <w:rsid w:val="00BB534C"/>
    <w:rsid w:val="00BB57EF"/>
    <w:rsid w:val="00BB67D8"/>
    <w:rsid w:val="00BB749A"/>
    <w:rsid w:val="00BC0383"/>
    <w:rsid w:val="00BC0B77"/>
    <w:rsid w:val="00BC0FDC"/>
    <w:rsid w:val="00BC1082"/>
    <w:rsid w:val="00BC1F30"/>
    <w:rsid w:val="00BC24C0"/>
    <w:rsid w:val="00BC25AA"/>
    <w:rsid w:val="00BC3053"/>
    <w:rsid w:val="00BC3C8B"/>
    <w:rsid w:val="00BC3FAD"/>
    <w:rsid w:val="00BC40B6"/>
    <w:rsid w:val="00BC44DE"/>
    <w:rsid w:val="00BC4D2E"/>
    <w:rsid w:val="00BC5D1C"/>
    <w:rsid w:val="00BC674A"/>
    <w:rsid w:val="00BC6A41"/>
    <w:rsid w:val="00BC6BB5"/>
    <w:rsid w:val="00BC6BC1"/>
    <w:rsid w:val="00BC6D9F"/>
    <w:rsid w:val="00BC7044"/>
    <w:rsid w:val="00BD047F"/>
    <w:rsid w:val="00BD1169"/>
    <w:rsid w:val="00BD1823"/>
    <w:rsid w:val="00BD18B8"/>
    <w:rsid w:val="00BD1AA5"/>
    <w:rsid w:val="00BD1E19"/>
    <w:rsid w:val="00BD27AF"/>
    <w:rsid w:val="00BD2E09"/>
    <w:rsid w:val="00BD48AC"/>
    <w:rsid w:val="00BD4997"/>
    <w:rsid w:val="00BD4CDD"/>
    <w:rsid w:val="00BD4FA5"/>
    <w:rsid w:val="00BD5F1A"/>
    <w:rsid w:val="00BD619F"/>
    <w:rsid w:val="00BD7650"/>
    <w:rsid w:val="00BD7A8B"/>
    <w:rsid w:val="00BD7F16"/>
    <w:rsid w:val="00BE0B97"/>
    <w:rsid w:val="00BE0BF1"/>
    <w:rsid w:val="00BE1234"/>
    <w:rsid w:val="00BE1562"/>
    <w:rsid w:val="00BE1E63"/>
    <w:rsid w:val="00BE1FD4"/>
    <w:rsid w:val="00BE2FA6"/>
    <w:rsid w:val="00BE333F"/>
    <w:rsid w:val="00BE45B3"/>
    <w:rsid w:val="00BE4818"/>
    <w:rsid w:val="00BE4DC3"/>
    <w:rsid w:val="00BE5A09"/>
    <w:rsid w:val="00BE5A2F"/>
    <w:rsid w:val="00BE6453"/>
    <w:rsid w:val="00BE70F0"/>
    <w:rsid w:val="00BE7406"/>
    <w:rsid w:val="00BE750F"/>
    <w:rsid w:val="00BE7603"/>
    <w:rsid w:val="00BF0151"/>
    <w:rsid w:val="00BF0A13"/>
    <w:rsid w:val="00BF0A54"/>
    <w:rsid w:val="00BF0FA3"/>
    <w:rsid w:val="00BF13E9"/>
    <w:rsid w:val="00BF1B6B"/>
    <w:rsid w:val="00BF1D89"/>
    <w:rsid w:val="00BF26D4"/>
    <w:rsid w:val="00BF3077"/>
    <w:rsid w:val="00BF3251"/>
    <w:rsid w:val="00BF3279"/>
    <w:rsid w:val="00BF3B6B"/>
    <w:rsid w:val="00BF3E81"/>
    <w:rsid w:val="00BF3EC8"/>
    <w:rsid w:val="00BF4D66"/>
    <w:rsid w:val="00BF5872"/>
    <w:rsid w:val="00BF5CF6"/>
    <w:rsid w:val="00BF6036"/>
    <w:rsid w:val="00BF611E"/>
    <w:rsid w:val="00BF6582"/>
    <w:rsid w:val="00BF7217"/>
    <w:rsid w:val="00BF7356"/>
    <w:rsid w:val="00BF74C7"/>
    <w:rsid w:val="00BF7623"/>
    <w:rsid w:val="00C001BE"/>
    <w:rsid w:val="00C009AC"/>
    <w:rsid w:val="00C00AE8"/>
    <w:rsid w:val="00C00B53"/>
    <w:rsid w:val="00C015F1"/>
    <w:rsid w:val="00C01F33"/>
    <w:rsid w:val="00C02236"/>
    <w:rsid w:val="00C0236D"/>
    <w:rsid w:val="00C02CC6"/>
    <w:rsid w:val="00C02EF8"/>
    <w:rsid w:val="00C032FC"/>
    <w:rsid w:val="00C040F7"/>
    <w:rsid w:val="00C041B0"/>
    <w:rsid w:val="00C04475"/>
    <w:rsid w:val="00C044AB"/>
    <w:rsid w:val="00C05706"/>
    <w:rsid w:val="00C05E8E"/>
    <w:rsid w:val="00C06AD5"/>
    <w:rsid w:val="00C07377"/>
    <w:rsid w:val="00C07ACA"/>
    <w:rsid w:val="00C10283"/>
    <w:rsid w:val="00C10478"/>
    <w:rsid w:val="00C1159D"/>
    <w:rsid w:val="00C119F4"/>
    <w:rsid w:val="00C12107"/>
    <w:rsid w:val="00C12978"/>
    <w:rsid w:val="00C1336E"/>
    <w:rsid w:val="00C1339F"/>
    <w:rsid w:val="00C13429"/>
    <w:rsid w:val="00C136B9"/>
    <w:rsid w:val="00C13CF5"/>
    <w:rsid w:val="00C14D4B"/>
    <w:rsid w:val="00C14F45"/>
    <w:rsid w:val="00C154BB"/>
    <w:rsid w:val="00C15FEA"/>
    <w:rsid w:val="00C1670D"/>
    <w:rsid w:val="00C173FB"/>
    <w:rsid w:val="00C177D6"/>
    <w:rsid w:val="00C214EA"/>
    <w:rsid w:val="00C22337"/>
    <w:rsid w:val="00C22345"/>
    <w:rsid w:val="00C22B48"/>
    <w:rsid w:val="00C22E48"/>
    <w:rsid w:val="00C23EE8"/>
    <w:rsid w:val="00C2471F"/>
    <w:rsid w:val="00C24E68"/>
    <w:rsid w:val="00C25DF9"/>
    <w:rsid w:val="00C2656B"/>
    <w:rsid w:val="00C26FAA"/>
    <w:rsid w:val="00C275A9"/>
    <w:rsid w:val="00C279B5"/>
    <w:rsid w:val="00C27BD2"/>
    <w:rsid w:val="00C27C45"/>
    <w:rsid w:val="00C30691"/>
    <w:rsid w:val="00C30833"/>
    <w:rsid w:val="00C30F0B"/>
    <w:rsid w:val="00C35447"/>
    <w:rsid w:val="00C35564"/>
    <w:rsid w:val="00C35AA0"/>
    <w:rsid w:val="00C35CCF"/>
    <w:rsid w:val="00C3719D"/>
    <w:rsid w:val="00C3756F"/>
    <w:rsid w:val="00C377C8"/>
    <w:rsid w:val="00C40494"/>
    <w:rsid w:val="00C4076A"/>
    <w:rsid w:val="00C41251"/>
    <w:rsid w:val="00C41CC9"/>
    <w:rsid w:val="00C42C69"/>
    <w:rsid w:val="00C42C71"/>
    <w:rsid w:val="00C42D49"/>
    <w:rsid w:val="00C42D85"/>
    <w:rsid w:val="00C42DF8"/>
    <w:rsid w:val="00C433AE"/>
    <w:rsid w:val="00C43A9B"/>
    <w:rsid w:val="00C44547"/>
    <w:rsid w:val="00C46240"/>
    <w:rsid w:val="00C471BE"/>
    <w:rsid w:val="00C47927"/>
    <w:rsid w:val="00C4799A"/>
    <w:rsid w:val="00C47E8C"/>
    <w:rsid w:val="00C504D0"/>
    <w:rsid w:val="00C50579"/>
    <w:rsid w:val="00C509AE"/>
    <w:rsid w:val="00C525C1"/>
    <w:rsid w:val="00C52DC6"/>
    <w:rsid w:val="00C52F64"/>
    <w:rsid w:val="00C52FEE"/>
    <w:rsid w:val="00C53203"/>
    <w:rsid w:val="00C532F3"/>
    <w:rsid w:val="00C53624"/>
    <w:rsid w:val="00C53871"/>
    <w:rsid w:val="00C5395B"/>
    <w:rsid w:val="00C54995"/>
    <w:rsid w:val="00C54D41"/>
    <w:rsid w:val="00C5517F"/>
    <w:rsid w:val="00C554B8"/>
    <w:rsid w:val="00C5572E"/>
    <w:rsid w:val="00C55CFC"/>
    <w:rsid w:val="00C56A28"/>
    <w:rsid w:val="00C577FE"/>
    <w:rsid w:val="00C57D72"/>
    <w:rsid w:val="00C57EF3"/>
    <w:rsid w:val="00C603E2"/>
    <w:rsid w:val="00C60783"/>
    <w:rsid w:val="00C609B6"/>
    <w:rsid w:val="00C6151A"/>
    <w:rsid w:val="00C61B4C"/>
    <w:rsid w:val="00C61FE8"/>
    <w:rsid w:val="00C6225F"/>
    <w:rsid w:val="00C62F23"/>
    <w:rsid w:val="00C64433"/>
    <w:rsid w:val="00C64672"/>
    <w:rsid w:val="00C6484D"/>
    <w:rsid w:val="00C64BE5"/>
    <w:rsid w:val="00C6502D"/>
    <w:rsid w:val="00C65572"/>
    <w:rsid w:val="00C65CA3"/>
    <w:rsid w:val="00C65EFC"/>
    <w:rsid w:val="00C65F74"/>
    <w:rsid w:val="00C660F9"/>
    <w:rsid w:val="00C662E2"/>
    <w:rsid w:val="00C67803"/>
    <w:rsid w:val="00C7057C"/>
    <w:rsid w:val="00C70697"/>
    <w:rsid w:val="00C722B1"/>
    <w:rsid w:val="00C72C91"/>
    <w:rsid w:val="00C72EF4"/>
    <w:rsid w:val="00C73175"/>
    <w:rsid w:val="00C752B6"/>
    <w:rsid w:val="00C75D2F"/>
    <w:rsid w:val="00C767BE"/>
    <w:rsid w:val="00C76963"/>
    <w:rsid w:val="00C76E3C"/>
    <w:rsid w:val="00C76F2F"/>
    <w:rsid w:val="00C770F2"/>
    <w:rsid w:val="00C77209"/>
    <w:rsid w:val="00C77A34"/>
    <w:rsid w:val="00C81568"/>
    <w:rsid w:val="00C83454"/>
    <w:rsid w:val="00C836BC"/>
    <w:rsid w:val="00C84847"/>
    <w:rsid w:val="00C84CA9"/>
    <w:rsid w:val="00C8580F"/>
    <w:rsid w:val="00C8723E"/>
    <w:rsid w:val="00C873BE"/>
    <w:rsid w:val="00C87994"/>
    <w:rsid w:val="00C87996"/>
    <w:rsid w:val="00C90158"/>
    <w:rsid w:val="00C90216"/>
    <w:rsid w:val="00C9027A"/>
    <w:rsid w:val="00C904B3"/>
    <w:rsid w:val="00C9068E"/>
    <w:rsid w:val="00C90D9C"/>
    <w:rsid w:val="00C910C3"/>
    <w:rsid w:val="00C9182E"/>
    <w:rsid w:val="00C91F7D"/>
    <w:rsid w:val="00C91FCB"/>
    <w:rsid w:val="00C9318D"/>
    <w:rsid w:val="00C93196"/>
    <w:rsid w:val="00C93B42"/>
    <w:rsid w:val="00C93C4B"/>
    <w:rsid w:val="00C944AB"/>
    <w:rsid w:val="00C953CF"/>
    <w:rsid w:val="00C95B40"/>
    <w:rsid w:val="00C963BC"/>
    <w:rsid w:val="00C96D0C"/>
    <w:rsid w:val="00C97482"/>
    <w:rsid w:val="00C977D6"/>
    <w:rsid w:val="00CA0487"/>
    <w:rsid w:val="00CA04B9"/>
    <w:rsid w:val="00CA0EBA"/>
    <w:rsid w:val="00CA1057"/>
    <w:rsid w:val="00CA1ED8"/>
    <w:rsid w:val="00CA2BF4"/>
    <w:rsid w:val="00CA331B"/>
    <w:rsid w:val="00CA3474"/>
    <w:rsid w:val="00CA34C1"/>
    <w:rsid w:val="00CA4300"/>
    <w:rsid w:val="00CA5093"/>
    <w:rsid w:val="00CA5F74"/>
    <w:rsid w:val="00CA62A6"/>
    <w:rsid w:val="00CA6F09"/>
    <w:rsid w:val="00CA7373"/>
    <w:rsid w:val="00CB11DE"/>
    <w:rsid w:val="00CB1432"/>
    <w:rsid w:val="00CB1810"/>
    <w:rsid w:val="00CB1D2A"/>
    <w:rsid w:val="00CB1E82"/>
    <w:rsid w:val="00CB1F63"/>
    <w:rsid w:val="00CB240B"/>
    <w:rsid w:val="00CB2C47"/>
    <w:rsid w:val="00CB31CC"/>
    <w:rsid w:val="00CB38F5"/>
    <w:rsid w:val="00CB3969"/>
    <w:rsid w:val="00CB3AD7"/>
    <w:rsid w:val="00CB3B3A"/>
    <w:rsid w:val="00CB3BBF"/>
    <w:rsid w:val="00CB40A6"/>
    <w:rsid w:val="00CB43B7"/>
    <w:rsid w:val="00CB46CA"/>
    <w:rsid w:val="00CB4A54"/>
    <w:rsid w:val="00CB4D66"/>
    <w:rsid w:val="00CB59E0"/>
    <w:rsid w:val="00CB61EF"/>
    <w:rsid w:val="00CB7170"/>
    <w:rsid w:val="00CB7876"/>
    <w:rsid w:val="00CB7F94"/>
    <w:rsid w:val="00CC0093"/>
    <w:rsid w:val="00CC0239"/>
    <w:rsid w:val="00CC040E"/>
    <w:rsid w:val="00CC070C"/>
    <w:rsid w:val="00CC0A45"/>
    <w:rsid w:val="00CC111F"/>
    <w:rsid w:val="00CC16FC"/>
    <w:rsid w:val="00CC1FB9"/>
    <w:rsid w:val="00CC2011"/>
    <w:rsid w:val="00CC2716"/>
    <w:rsid w:val="00CC33B9"/>
    <w:rsid w:val="00CC36B3"/>
    <w:rsid w:val="00CC38D7"/>
    <w:rsid w:val="00CC3B48"/>
    <w:rsid w:val="00CC3EA0"/>
    <w:rsid w:val="00CC4046"/>
    <w:rsid w:val="00CC4265"/>
    <w:rsid w:val="00CC4C07"/>
    <w:rsid w:val="00CC51FD"/>
    <w:rsid w:val="00CC5472"/>
    <w:rsid w:val="00CC745E"/>
    <w:rsid w:val="00CC7821"/>
    <w:rsid w:val="00CC7B45"/>
    <w:rsid w:val="00CD0521"/>
    <w:rsid w:val="00CD0676"/>
    <w:rsid w:val="00CD0D28"/>
    <w:rsid w:val="00CD0FCF"/>
    <w:rsid w:val="00CD1072"/>
    <w:rsid w:val="00CD1188"/>
    <w:rsid w:val="00CD2B1A"/>
    <w:rsid w:val="00CD2D0C"/>
    <w:rsid w:val="00CD2E56"/>
    <w:rsid w:val="00CD2ED1"/>
    <w:rsid w:val="00CD2F77"/>
    <w:rsid w:val="00CD337B"/>
    <w:rsid w:val="00CD3412"/>
    <w:rsid w:val="00CD4074"/>
    <w:rsid w:val="00CD424E"/>
    <w:rsid w:val="00CD4CFE"/>
    <w:rsid w:val="00CD5555"/>
    <w:rsid w:val="00CD7877"/>
    <w:rsid w:val="00CE0424"/>
    <w:rsid w:val="00CE182B"/>
    <w:rsid w:val="00CE24E1"/>
    <w:rsid w:val="00CE2651"/>
    <w:rsid w:val="00CE2852"/>
    <w:rsid w:val="00CE2883"/>
    <w:rsid w:val="00CE2A8A"/>
    <w:rsid w:val="00CE56D0"/>
    <w:rsid w:val="00CE5D4B"/>
    <w:rsid w:val="00CE74E6"/>
    <w:rsid w:val="00CE7561"/>
    <w:rsid w:val="00CE7D63"/>
    <w:rsid w:val="00CE7DD6"/>
    <w:rsid w:val="00CF1354"/>
    <w:rsid w:val="00CF1397"/>
    <w:rsid w:val="00CF27E3"/>
    <w:rsid w:val="00CF3A80"/>
    <w:rsid w:val="00CF3B1F"/>
    <w:rsid w:val="00CF3BF6"/>
    <w:rsid w:val="00CF41DD"/>
    <w:rsid w:val="00CF42C4"/>
    <w:rsid w:val="00CF49D6"/>
    <w:rsid w:val="00CF51DD"/>
    <w:rsid w:val="00CF5BA1"/>
    <w:rsid w:val="00CF5CB0"/>
    <w:rsid w:val="00CF625B"/>
    <w:rsid w:val="00CF687E"/>
    <w:rsid w:val="00CF6BA0"/>
    <w:rsid w:val="00CF6F64"/>
    <w:rsid w:val="00CF7B42"/>
    <w:rsid w:val="00CF7C55"/>
    <w:rsid w:val="00D003E2"/>
    <w:rsid w:val="00D00EE6"/>
    <w:rsid w:val="00D0142B"/>
    <w:rsid w:val="00D0190A"/>
    <w:rsid w:val="00D01F9C"/>
    <w:rsid w:val="00D02B70"/>
    <w:rsid w:val="00D031DA"/>
    <w:rsid w:val="00D0349B"/>
    <w:rsid w:val="00D03861"/>
    <w:rsid w:val="00D04434"/>
    <w:rsid w:val="00D04A7D"/>
    <w:rsid w:val="00D05AA7"/>
    <w:rsid w:val="00D05F16"/>
    <w:rsid w:val="00D06492"/>
    <w:rsid w:val="00D0655A"/>
    <w:rsid w:val="00D067F6"/>
    <w:rsid w:val="00D0708C"/>
    <w:rsid w:val="00D0791F"/>
    <w:rsid w:val="00D07992"/>
    <w:rsid w:val="00D10249"/>
    <w:rsid w:val="00D10951"/>
    <w:rsid w:val="00D115C3"/>
    <w:rsid w:val="00D11897"/>
    <w:rsid w:val="00D11FB8"/>
    <w:rsid w:val="00D12695"/>
    <w:rsid w:val="00D12889"/>
    <w:rsid w:val="00D13135"/>
    <w:rsid w:val="00D13297"/>
    <w:rsid w:val="00D13310"/>
    <w:rsid w:val="00D13325"/>
    <w:rsid w:val="00D13C81"/>
    <w:rsid w:val="00D13E4E"/>
    <w:rsid w:val="00D15AAD"/>
    <w:rsid w:val="00D15D01"/>
    <w:rsid w:val="00D161D8"/>
    <w:rsid w:val="00D165B8"/>
    <w:rsid w:val="00D17CE4"/>
    <w:rsid w:val="00D2006E"/>
    <w:rsid w:val="00D204DB"/>
    <w:rsid w:val="00D20522"/>
    <w:rsid w:val="00D21672"/>
    <w:rsid w:val="00D2277F"/>
    <w:rsid w:val="00D239A7"/>
    <w:rsid w:val="00D23BE5"/>
    <w:rsid w:val="00D23F47"/>
    <w:rsid w:val="00D242E0"/>
    <w:rsid w:val="00D2486B"/>
    <w:rsid w:val="00D24951"/>
    <w:rsid w:val="00D251A0"/>
    <w:rsid w:val="00D25491"/>
    <w:rsid w:val="00D25557"/>
    <w:rsid w:val="00D2556A"/>
    <w:rsid w:val="00D26BF0"/>
    <w:rsid w:val="00D26C20"/>
    <w:rsid w:val="00D26DBF"/>
    <w:rsid w:val="00D2740F"/>
    <w:rsid w:val="00D27F67"/>
    <w:rsid w:val="00D3005B"/>
    <w:rsid w:val="00D3014D"/>
    <w:rsid w:val="00D309CC"/>
    <w:rsid w:val="00D31995"/>
    <w:rsid w:val="00D31B35"/>
    <w:rsid w:val="00D31FB3"/>
    <w:rsid w:val="00D32518"/>
    <w:rsid w:val="00D346B3"/>
    <w:rsid w:val="00D34C1E"/>
    <w:rsid w:val="00D34C5A"/>
    <w:rsid w:val="00D351A4"/>
    <w:rsid w:val="00D35B4D"/>
    <w:rsid w:val="00D36455"/>
    <w:rsid w:val="00D3668A"/>
    <w:rsid w:val="00D36809"/>
    <w:rsid w:val="00D36E71"/>
    <w:rsid w:val="00D370A5"/>
    <w:rsid w:val="00D37CB5"/>
    <w:rsid w:val="00D37D3A"/>
    <w:rsid w:val="00D37D87"/>
    <w:rsid w:val="00D37F48"/>
    <w:rsid w:val="00D404CA"/>
    <w:rsid w:val="00D40B33"/>
    <w:rsid w:val="00D40B6E"/>
    <w:rsid w:val="00D40C8B"/>
    <w:rsid w:val="00D426C2"/>
    <w:rsid w:val="00D4318F"/>
    <w:rsid w:val="00D438BF"/>
    <w:rsid w:val="00D43B74"/>
    <w:rsid w:val="00D43CF8"/>
    <w:rsid w:val="00D43FBB"/>
    <w:rsid w:val="00D440F8"/>
    <w:rsid w:val="00D441B9"/>
    <w:rsid w:val="00D4515A"/>
    <w:rsid w:val="00D455F2"/>
    <w:rsid w:val="00D4568D"/>
    <w:rsid w:val="00D4619E"/>
    <w:rsid w:val="00D463E2"/>
    <w:rsid w:val="00D470E6"/>
    <w:rsid w:val="00D476B2"/>
    <w:rsid w:val="00D47F30"/>
    <w:rsid w:val="00D50A06"/>
    <w:rsid w:val="00D512FF"/>
    <w:rsid w:val="00D51F60"/>
    <w:rsid w:val="00D52012"/>
    <w:rsid w:val="00D52BA3"/>
    <w:rsid w:val="00D5303E"/>
    <w:rsid w:val="00D533ED"/>
    <w:rsid w:val="00D54206"/>
    <w:rsid w:val="00D546FF"/>
    <w:rsid w:val="00D548D1"/>
    <w:rsid w:val="00D55AD5"/>
    <w:rsid w:val="00D55E91"/>
    <w:rsid w:val="00D576CA"/>
    <w:rsid w:val="00D576E3"/>
    <w:rsid w:val="00D60E13"/>
    <w:rsid w:val="00D61AF5"/>
    <w:rsid w:val="00D62AC2"/>
    <w:rsid w:val="00D62CD5"/>
    <w:rsid w:val="00D642D1"/>
    <w:rsid w:val="00D6435F"/>
    <w:rsid w:val="00D64DEB"/>
    <w:rsid w:val="00D652B5"/>
    <w:rsid w:val="00D65BA7"/>
    <w:rsid w:val="00D66155"/>
    <w:rsid w:val="00D66919"/>
    <w:rsid w:val="00D67C2D"/>
    <w:rsid w:val="00D7079A"/>
    <w:rsid w:val="00D70841"/>
    <w:rsid w:val="00D708B0"/>
    <w:rsid w:val="00D70C0E"/>
    <w:rsid w:val="00D72099"/>
    <w:rsid w:val="00D725CD"/>
    <w:rsid w:val="00D73192"/>
    <w:rsid w:val="00D73427"/>
    <w:rsid w:val="00D73A16"/>
    <w:rsid w:val="00D74277"/>
    <w:rsid w:val="00D74AEC"/>
    <w:rsid w:val="00D74F31"/>
    <w:rsid w:val="00D7751A"/>
    <w:rsid w:val="00D777E0"/>
    <w:rsid w:val="00D77B1D"/>
    <w:rsid w:val="00D77FDA"/>
    <w:rsid w:val="00D8021F"/>
    <w:rsid w:val="00D80383"/>
    <w:rsid w:val="00D80ADB"/>
    <w:rsid w:val="00D80B3E"/>
    <w:rsid w:val="00D81DFE"/>
    <w:rsid w:val="00D81E64"/>
    <w:rsid w:val="00D81F78"/>
    <w:rsid w:val="00D8201A"/>
    <w:rsid w:val="00D823C6"/>
    <w:rsid w:val="00D82883"/>
    <w:rsid w:val="00D82E25"/>
    <w:rsid w:val="00D837A0"/>
    <w:rsid w:val="00D86189"/>
    <w:rsid w:val="00D86B71"/>
    <w:rsid w:val="00D86CA3"/>
    <w:rsid w:val="00D87003"/>
    <w:rsid w:val="00D871CE"/>
    <w:rsid w:val="00D8787A"/>
    <w:rsid w:val="00D878A9"/>
    <w:rsid w:val="00D87C65"/>
    <w:rsid w:val="00D9129F"/>
    <w:rsid w:val="00D91528"/>
    <w:rsid w:val="00D9196D"/>
    <w:rsid w:val="00D92982"/>
    <w:rsid w:val="00D92D22"/>
    <w:rsid w:val="00D92D71"/>
    <w:rsid w:val="00D93024"/>
    <w:rsid w:val="00D93AE1"/>
    <w:rsid w:val="00D94B1F"/>
    <w:rsid w:val="00D955BF"/>
    <w:rsid w:val="00D95766"/>
    <w:rsid w:val="00D959CC"/>
    <w:rsid w:val="00D9693C"/>
    <w:rsid w:val="00D96AF5"/>
    <w:rsid w:val="00D971D9"/>
    <w:rsid w:val="00D97336"/>
    <w:rsid w:val="00DA0106"/>
    <w:rsid w:val="00DA0471"/>
    <w:rsid w:val="00DA25B1"/>
    <w:rsid w:val="00DA305E"/>
    <w:rsid w:val="00DA3477"/>
    <w:rsid w:val="00DA358A"/>
    <w:rsid w:val="00DA41F5"/>
    <w:rsid w:val="00DA5007"/>
    <w:rsid w:val="00DA5417"/>
    <w:rsid w:val="00DA56E8"/>
    <w:rsid w:val="00DA5BDE"/>
    <w:rsid w:val="00DA6689"/>
    <w:rsid w:val="00DA7255"/>
    <w:rsid w:val="00DA7516"/>
    <w:rsid w:val="00DB0A9F"/>
    <w:rsid w:val="00DB0F9E"/>
    <w:rsid w:val="00DB1A51"/>
    <w:rsid w:val="00DB1C6D"/>
    <w:rsid w:val="00DB27C1"/>
    <w:rsid w:val="00DB377D"/>
    <w:rsid w:val="00DB4499"/>
    <w:rsid w:val="00DB4C71"/>
    <w:rsid w:val="00DB4FFB"/>
    <w:rsid w:val="00DB591C"/>
    <w:rsid w:val="00DB7A41"/>
    <w:rsid w:val="00DC087B"/>
    <w:rsid w:val="00DC0BC3"/>
    <w:rsid w:val="00DC0D4D"/>
    <w:rsid w:val="00DC1023"/>
    <w:rsid w:val="00DC13A2"/>
    <w:rsid w:val="00DC18D2"/>
    <w:rsid w:val="00DC2B6F"/>
    <w:rsid w:val="00DC2D36"/>
    <w:rsid w:val="00DC2F9A"/>
    <w:rsid w:val="00DC3047"/>
    <w:rsid w:val="00DC3425"/>
    <w:rsid w:val="00DC34AD"/>
    <w:rsid w:val="00DC456E"/>
    <w:rsid w:val="00DC53EF"/>
    <w:rsid w:val="00DC6486"/>
    <w:rsid w:val="00DC69C5"/>
    <w:rsid w:val="00DC7AAD"/>
    <w:rsid w:val="00DC7E2E"/>
    <w:rsid w:val="00DD0200"/>
    <w:rsid w:val="00DD072F"/>
    <w:rsid w:val="00DD0A3C"/>
    <w:rsid w:val="00DD0CCA"/>
    <w:rsid w:val="00DD1174"/>
    <w:rsid w:val="00DD162C"/>
    <w:rsid w:val="00DD18FF"/>
    <w:rsid w:val="00DD267E"/>
    <w:rsid w:val="00DD4536"/>
    <w:rsid w:val="00DD5CE4"/>
    <w:rsid w:val="00DD6A8C"/>
    <w:rsid w:val="00DD6C37"/>
    <w:rsid w:val="00DD6EE7"/>
    <w:rsid w:val="00DD75E2"/>
    <w:rsid w:val="00DD7DCF"/>
    <w:rsid w:val="00DE06D0"/>
    <w:rsid w:val="00DE16A2"/>
    <w:rsid w:val="00DE1825"/>
    <w:rsid w:val="00DE1A37"/>
    <w:rsid w:val="00DE1ADF"/>
    <w:rsid w:val="00DE3171"/>
    <w:rsid w:val="00DE320C"/>
    <w:rsid w:val="00DE356B"/>
    <w:rsid w:val="00DE36CE"/>
    <w:rsid w:val="00DE4C2B"/>
    <w:rsid w:val="00DE4D1B"/>
    <w:rsid w:val="00DE4FDC"/>
    <w:rsid w:val="00DE5608"/>
    <w:rsid w:val="00DE58D0"/>
    <w:rsid w:val="00DE654F"/>
    <w:rsid w:val="00DE7C1F"/>
    <w:rsid w:val="00DF0469"/>
    <w:rsid w:val="00DF0B6E"/>
    <w:rsid w:val="00DF0DF2"/>
    <w:rsid w:val="00DF15E0"/>
    <w:rsid w:val="00DF2B54"/>
    <w:rsid w:val="00DF318B"/>
    <w:rsid w:val="00DF3520"/>
    <w:rsid w:val="00DF369C"/>
    <w:rsid w:val="00DF37A0"/>
    <w:rsid w:val="00DF3B7B"/>
    <w:rsid w:val="00DF4008"/>
    <w:rsid w:val="00DF45B5"/>
    <w:rsid w:val="00DF4EA1"/>
    <w:rsid w:val="00DF4F61"/>
    <w:rsid w:val="00DF6056"/>
    <w:rsid w:val="00DF7402"/>
    <w:rsid w:val="00DF7559"/>
    <w:rsid w:val="00E001E0"/>
    <w:rsid w:val="00E006FD"/>
    <w:rsid w:val="00E00D7C"/>
    <w:rsid w:val="00E012C0"/>
    <w:rsid w:val="00E017F6"/>
    <w:rsid w:val="00E02498"/>
    <w:rsid w:val="00E02957"/>
    <w:rsid w:val="00E02A05"/>
    <w:rsid w:val="00E02CFE"/>
    <w:rsid w:val="00E02D54"/>
    <w:rsid w:val="00E034DB"/>
    <w:rsid w:val="00E03511"/>
    <w:rsid w:val="00E03709"/>
    <w:rsid w:val="00E03FCF"/>
    <w:rsid w:val="00E045A4"/>
    <w:rsid w:val="00E04A56"/>
    <w:rsid w:val="00E04B03"/>
    <w:rsid w:val="00E04ED7"/>
    <w:rsid w:val="00E0503D"/>
    <w:rsid w:val="00E05B68"/>
    <w:rsid w:val="00E05C62"/>
    <w:rsid w:val="00E0781D"/>
    <w:rsid w:val="00E10749"/>
    <w:rsid w:val="00E110E7"/>
    <w:rsid w:val="00E11B20"/>
    <w:rsid w:val="00E12331"/>
    <w:rsid w:val="00E1259A"/>
    <w:rsid w:val="00E128F0"/>
    <w:rsid w:val="00E12909"/>
    <w:rsid w:val="00E129D7"/>
    <w:rsid w:val="00E12F74"/>
    <w:rsid w:val="00E134C9"/>
    <w:rsid w:val="00E136DB"/>
    <w:rsid w:val="00E14C0B"/>
    <w:rsid w:val="00E1555A"/>
    <w:rsid w:val="00E16887"/>
    <w:rsid w:val="00E1691D"/>
    <w:rsid w:val="00E1698F"/>
    <w:rsid w:val="00E17FA2"/>
    <w:rsid w:val="00E205FB"/>
    <w:rsid w:val="00E20601"/>
    <w:rsid w:val="00E209C7"/>
    <w:rsid w:val="00E20A0E"/>
    <w:rsid w:val="00E20FEC"/>
    <w:rsid w:val="00E22330"/>
    <w:rsid w:val="00E2423D"/>
    <w:rsid w:val="00E24340"/>
    <w:rsid w:val="00E24460"/>
    <w:rsid w:val="00E24518"/>
    <w:rsid w:val="00E24FD3"/>
    <w:rsid w:val="00E25353"/>
    <w:rsid w:val="00E25AE6"/>
    <w:rsid w:val="00E30B5A"/>
    <w:rsid w:val="00E3120E"/>
    <w:rsid w:val="00E3123D"/>
    <w:rsid w:val="00E31461"/>
    <w:rsid w:val="00E31D43"/>
    <w:rsid w:val="00E32189"/>
    <w:rsid w:val="00E32608"/>
    <w:rsid w:val="00E32773"/>
    <w:rsid w:val="00E33156"/>
    <w:rsid w:val="00E33CDD"/>
    <w:rsid w:val="00E34188"/>
    <w:rsid w:val="00E345CD"/>
    <w:rsid w:val="00E34B6E"/>
    <w:rsid w:val="00E34EEA"/>
    <w:rsid w:val="00E35559"/>
    <w:rsid w:val="00E359C0"/>
    <w:rsid w:val="00E35EF6"/>
    <w:rsid w:val="00E3663D"/>
    <w:rsid w:val="00E3671B"/>
    <w:rsid w:val="00E36EBA"/>
    <w:rsid w:val="00E371D3"/>
    <w:rsid w:val="00E3723A"/>
    <w:rsid w:val="00E374E2"/>
    <w:rsid w:val="00E37860"/>
    <w:rsid w:val="00E4025F"/>
    <w:rsid w:val="00E413B2"/>
    <w:rsid w:val="00E41511"/>
    <w:rsid w:val="00E416C4"/>
    <w:rsid w:val="00E417E5"/>
    <w:rsid w:val="00E421D7"/>
    <w:rsid w:val="00E42775"/>
    <w:rsid w:val="00E4311E"/>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219D"/>
    <w:rsid w:val="00E52E06"/>
    <w:rsid w:val="00E52E2F"/>
    <w:rsid w:val="00E53B75"/>
    <w:rsid w:val="00E54E3B"/>
    <w:rsid w:val="00E557C6"/>
    <w:rsid w:val="00E55C1A"/>
    <w:rsid w:val="00E55C55"/>
    <w:rsid w:val="00E55D27"/>
    <w:rsid w:val="00E5729C"/>
    <w:rsid w:val="00E572F1"/>
    <w:rsid w:val="00E57565"/>
    <w:rsid w:val="00E60AD7"/>
    <w:rsid w:val="00E61BFB"/>
    <w:rsid w:val="00E62B5D"/>
    <w:rsid w:val="00E62BD9"/>
    <w:rsid w:val="00E62BFC"/>
    <w:rsid w:val="00E63838"/>
    <w:rsid w:val="00E6427E"/>
    <w:rsid w:val="00E64434"/>
    <w:rsid w:val="00E64647"/>
    <w:rsid w:val="00E650C5"/>
    <w:rsid w:val="00E65804"/>
    <w:rsid w:val="00E65BD4"/>
    <w:rsid w:val="00E6612D"/>
    <w:rsid w:val="00E67540"/>
    <w:rsid w:val="00E677DD"/>
    <w:rsid w:val="00E67998"/>
    <w:rsid w:val="00E67C51"/>
    <w:rsid w:val="00E67CEC"/>
    <w:rsid w:val="00E7011B"/>
    <w:rsid w:val="00E7069F"/>
    <w:rsid w:val="00E72EFC"/>
    <w:rsid w:val="00E73DC7"/>
    <w:rsid w:val="00E74859"/>
    <w:rsid w:val="00E75471"/>
    <w:rsid w:val="00E758EC"/>
    <w:rsid w:val="00E75A2E"/>
    <w:rsid w:val="00E75D07"/>
    <w:rsid w:val="00E75FF8"/>
    <w:rsid w:val="00E76551"/>
    <w:rsid w:val="00E76ACC"/>
    <w:rsid w:val="00E77071"/>
    <w:rsid w:val="00E777F9"/>
    <w:rsid w:val="00E77D23"/>
    <w:rsid w:val="00E77E95"/>
    <w:rsid w:val="00E77EFF"/>
    <w:rsid w:val="00E77FAB"/>
    <w:rsid w:val="00E800C3"/>
    <w:rsid w:val="00E81ED3"/>
    <w:rsid w:val="00E82310"/>
    <w:rsid w:val="00E8234C"/>
    <w:rsid w:val="00E82420"/>
    <w:rsid w:val="00E82FEE"/>
    <w:rsid w:val="00E82FF3"/>
    <w:rsid w:val="00E831A8"/>
    <w:rsid w:val="00E83837"/>
    <w:rsid w:val="00E83AA9"/>
    <w:rsid w:val="00E84B69"/>
    <w:rsid w:val="00E84D30"/>
    <w:rsid w:val="00E85241"/>
    <w:rsid w:val="00E85928"/>
    <w:rsid w:val="00E85D48"/>
    <w:rsid w:val="00E85DDF"/>
    <w:rsid w:val="00E86F15"/>
    <w:rsid w:val="00E8706E"/>
    <w:rsid w:val="00E873A2"/>
    <w:rsid w:val="00E874C5"/>
    <w:rsid w:val="00E876B4"/>
    <w:rsid w:val="00E87822"/>
    <w:rsid w:val="00E87A4D"/>
    <w:rsid w:val="00E90395"/>
    <w:rsid w:val="00E90CF4"/>
    <w:rsid w:val="00E90E49"/>
    <w:rsid w:val="00E917F9"/>
    <w:rsid w:val="00E9291C"/>
    <w:rsid w:val="00E93261"/>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6A9"/>
    <w:rsid w:val="00EA2D2E"/>
    <w:rsid w:val="00EA2E2B"/>
    <w:rsid w:val="00EA36FD"/>
    <w:rsid w:val="00EA4483"/>
    <w:rsid w:val="00EA5AA7"/>
    <w:rsid w:val="00EA6A36"/>
    <w:rsid w:val="00EA7056"/>
    <w:rsid w:val="00EA70B1"/>
    <w:rsid w:val="00EA765A"/>
    <w:rsid w:val="00EA7A41"/>
    <w:rsid w:val="00EB046F"/>
    <w:rsid w:val="00EB077B"/>
    <w:rsid w:val="00EB09F3"/>
    <w:rsid w:val="00EB3BA7"/>
    <w:rsid w:val="00EB3C74"/>
    <w:rsid w:val="00EB3DE6"/>
    <w:rsid w:val="00EB3F21"/>
    <w:rsid w:val="00EB4791"/>
    <w:rsid w:val="00EB4C70"/>
    <w:rsid w:val="00EB4EA2"/>
    <w:rsid w:val="00EB55C0"/>
    <w:rsid w:val="00EB68B4"/>
    <w:rsid w:val="00EB75F3"/>
    <w:rsid w:val="00EB7CE4"/>
    <w:rsid w:val="00EB7FE7"/>
    <w:rsid w:val="00EC17F7"/>
    <w:rsid w:val="00EC1E07"/>
    <w:rsid w:val="00EC27C6"/>
    <w:rsid w:val="00EC2C02"/>
    <w:rsid w:val="00EC2CE4"/>
    <w:rsid w:val="00EC2FCF"/>
    <w:rsid w:val="00EC4207"/>
    <w:rsid w:val="00EC5653"/>
    <w:rsid w:val="00EC5A31"/>
    <w:rsid w:val="00EC5F6E"/>
    <w:rsid w:val="00EC60B5"/>
    <w:rsid w:val="00EC6E4D"/>
    <w:rsid w:val="00EC71CE"/>
    <w:rsid w:val="00EC74EA"/>
    <w:rsid w:val="00ED1006"/>
    <w:rsid w:val="00ED15FF"/>
    <w:rsid w:val="00ED1A2C"/>
    <w:rsid w:val="00ED1AEB"/>
    <w:rsid w:val="00ED1BEE"/>
    <w:rsid w:val="00ED23CC"/>
    <w:rsid w:val="00ED3E2F"/>
    <w:rsid w:val="00ED4917"/>
    <w:rsid w:val="00ED4BF3"/>
    <w:rsid w:val="00ED4C85"/>
    <w:rsid w:val="00ED50AD"/>
    <w:rsid w:val="00ED668D"/>
    <w:rsid w:val="00ED6C4B"/>
    <w:rsid w:val="00ED6DF2"/>
    <w:rsid w:val="00ED74C4"/>
    <w:rsid w:val="00ED7799"/>
    <w:rsid w:val="00ED7E54"/>
    <w:rsid w:val="00EE0CA6"/>
    <w:rsid w:val="00EE0E2C"/>
    <w:rsid w:val="00EE2BB7"/>
    <w:rsid w:val="00EE3AF2"/>
    <w:rsid w:val="00EE420E"/>
    <w:rsid w:val="00EE4271"/>
    <w:rsid w:val="00EE4C32"/>
    <w:rsid w:val="00EE5A1B"/>
    <w:rsid w:val="00EE6A74"/>
    <w:rsid w:val="00EE71DE"/>
    <w:rsid w:val="00EE7417"/>
    <w:rsid w:val="00EF128D"/>
    <w:rsid w:val="00EF139F"/>
    <w:rsid w:val="00EF15EF"/>
    <w:rsid w:val="00EF18FE"/>
    <w:rsid w:val="00EF19A7"/>
    <w:rsid w:val="00EF25EC"/>
    <w:rsid w:val="00EF2F9E"/>
    <w:rsid w:val="00EF361E"/>
    <w:rsid w:val="00EF3A90"/>
    <w:rsid w:val="00EF4364"/>
    <w:rsid w:val="00EF46EC"/>
    <w:rsid w:val="00EF511A"/>
    <w:rsid w:val="00EF515C"/>
    <w:rsid w:val="00EF5787"/>
    <w:rsid w:val="00EF5B44"/>
    <w:rsid w:val="00EF5F18"/>
    <w:rsid w:val="00EF60D0"/>
    <w:rsid w:val="00EF6FAF"/>
    <w:rsid w:val="00EF783B"/>
    <w:rsid w:val="00EF78F3"/>
    <w:rsid w:val="00EF7F5C"/>
    <w:rsid w:val="00F000C5"/>
    <w:rsid w:val="00F01C5B"/>
    <w:rsid w:val="00F036EF"/>
    <w:rsid w:val="00F04DC0"/>
    <w:rsid w:val="00F0528D"/>
    <w:rsid w:val="00F054B9"/>
    <w:rsid w:val="00F06405"/>
    <w:rsid w:val="00F06C67"/>
    <w:rsid w:val="00F06DFD"/>
    <w:rsid w:val="00F071D1"/>
    <w:rsid w:val="00F07533"/>
    <w:rsid w:val="00F07AA8"/>
    <w:rsid w:val="00F1019A"/>
    <w:rsid w:val="00F10629"/>
    <w:rsid w:val="00F10CDB"/>
    <w:rsid w:val="00F11055"/>
    <w:rsid w:val="00F11AF0"/>
    <w:rsid w:val="00F11B2C"/>
    <w:rsid w:val="00F11BB0"/>
    <w:rsid w:val="00F11CE7"/>
    <w:rsid w:val="00F12470"/>
    <w:rsid w:val="00F12DE8"/>
    <w:rsid w:val="00F13B15"/>
    <w:rsid w:val="00F15FA5"/>
    <w:rsid w:val="00F162DA"/>
    <w:rsid w:val="00F16652"/>
    <w:rsid w:val="00F16746"/>
    <w:rsid w:val="00F16993"/>
    <w:rsid w:val="00F171FE"/>
    <w:rsid w:val="00F17A7B"/>
    <w:rsid w:val="00F17E83"/>
    <w:rsid w:val="00F20236"/>
    <w:rsid w:val="00F208CE"/>
    <w:rsid w:val="00F208F0"/>
    <w:rsid w:val="00F209B7"/>
    <w:rsid w:val="00F218FA"/>
    <w:rsid w:val="00F2238D"/>
    <w:rsid w:val="00F228C9"/>
    <w:rsid w:val="00F2376F"/>
    <w:rsid w:val="00F240C7"/>
    <w:rsid w:val="00F240CC"/>
    <w:rsid w:val="00F243D8"/>
    <w:rsid w:val="00F24CC7"/>
    <w:rsid w:val="00F24DE0"/>
    <w:rsid w:val="00F24F01"/>
    <w:rsid w:val="00F2688F"/>
    <w:rsid w:val="00F26E71"/>
    <w:rsid w:val="00F26FA2"/>
    <w:rsid w:val="00F30828"/>
    <w:rsid w:val="00F3108E"/>
    <w:rsid w:val="00F31148"/>
    <w:rsid w:val="00F313D6"/>
    <w:rsid w:val="00F32120"/>
    <w:rsid w:val="00F326AF"/>
    <w:rsid w:val="00F32B20"/>
    <w:rsid w:val="00F32D6C"/>
    <w:rsid w:val="00F33113"/>
    <w:rsid w:val="00F33232"/>
    <w:rsid w:val="00F33BF6"/>
    <w:rsid w:val="00F33F60"/>
    <w:rsid w:val="00F3438E"/>
    <w:rsid w:val="00F3545E"/>
    <w:rsid w:val="00F35DFE"/>
    <w:rsid w:val="00F36D7E"/>
    <w:rsid w:val="00F374AB"/>
    <w:rsid w:val="00F374BD"/>
    <w:rsid w:val="00F37A65"/>
    <w:rsid w:val="00F40E5A"/>
    <w:rsid w:val="00F40F0C"/>
    <w:rsid w:val="00F41816"/>
    <w:rsid w:val="00F41C33"/>
    <w:rsid w:val="00F41C49"/>
    <w:rsid w:val="00F41CD4"/>
    <w:rsid w:val="00F42764"/>
    <w:rsid w:val="00F42E2D"/>
    <w:rsid w:val="00F43969"/>
    <w:rsid w:val="00F43E56"/>
    <w:rsid w:val="00F442C9"/>
    <w:rsid w:val="00F449A7"/>
    <w:rsid w:val="00F452B9"/>
    <w:rsid w:val="00F46010"/>
    <w:rsid w:val="00F46B03"/>
    <w:rsid w:val="00F46BF3"/>
    <w:rsid w:val="00F4766C"/>
    <w:rsid w:val="00F4790D"/>
    <w:rsid w:val="00F501A2"/>
    <w:rsid w:val="00F507D1"/>
    <w:rsid w:val="00F50FE8"/>
    <w:rsid w:val="00F519CE"/>
    <w:rsid w:val="00F51ADA"/>
    <w:rsid w:val="00F5302E"/>
    <w:rsid w:val="00F53417"/>
    <w:rsid w:val="00F53EA5"/>
    <w:rsid w:val="00F54FBA"/>
    <w:rsid w:val="00F55955"/>
    <w:rsid w:val="00F55E9A"/>
    <w:rsid w:val="00F55F64"/>
    <w:rsid w:val="00F568F3"/>
    <w:rsid w:val="00F570ED"/>
    <w:rsid w:val="00F574B7"/>
    <w:rsid w:val="00F5773D"/>
    <w:rsid w:val="00F579DD"/>
    <w:rsid w:val="00F57A6A"/>
    <w:rsid w:val="00F57EF5"/>
    <w:rsid w:val="00F607C5"/>
    <w:rsid w:val="00F60947"/>
    <w:rsid w:val="00F60DEA"/>
    <w:rsid w:val="00F60EA4"/>
    <w:rsid w:val="00F6139A"/>
    <w:rsid w:val="00F6158E"/>
    <w:rsid w:val="00F6212D"/>
    <w:rsid w:val="00F6284D"/>
    <w:rsid w:val="00F62970"/>
    <w:rsid w:val="00F62AE0"/>
    <w:rsid w:val="00F6302A"/>
    <w:rsid w:val="00F63055"/>
    <w:rsid w:val="00F638B3"/>
    <w:rsid w:val="00F64C2B"/>
    <w:rsid w:val="00F651BE"/>
    <w:rsid w:val="00F65A96"/>
    <w:rsid w:val="00F66B46"/>
    <w:rsid w:val="00F672CB"/>
    <w:rsid w:val="00F676FE"/>
    <w:rsid w:val="00F678AD"/>
    <w:rsid w:val="00F67DCB"/>
    <w:rsid w:val="00F67F53"/>
    <w:rsid w:val="00F703BE"/>
    <w:rsid w:val="00F7074E"/>
    <w:rsid w:val="00F71F69"/>
    <w:rsid w:val="00F72108"/>
    <w:rsid w:val="00F7284F"/>
    <w:rsid w:val="00F72B72"/>
    <w:rsid w:val="00F73D0A"/>
    <w:rsid w:val="00F74244"/>
    <w:rsid w:val="00F74BB9"/>
    <w:rsid w:val="00F74BF6"/>
    <w:rsid w:val="00F74DBD"/>
    <w:rsid w:val="00F753FE"/>
    <w:rsid w:val="00F75582"/>
    <w:rsid w:val="00F75A72"/>
    <w:rsid w:val="00F75A7F"/>
    <w:rsid w:val="00F76EFA"/>
    <w:rsid w:val="00F773FB"/>
    <w:rsid w:val="00F804BE"/>
    <w:rsid w:val="00F817CE"/>
    <w:rsid w:val="00F81F6D"/>
    <w:rsid w:val="00F8300F"/>
    <w:rsid w:val="00F8319E"/>
    <w:rsid w:val="00F835FD"/>
    <w:rsid w:val="00F8431E"/>
    <w:rsid w:val="00F8456C"/>
    <w:rsid w:val="00F8488E"/>
    <w:rsid w:val="00F8498C"/>
    <w:rsid w:val="00F84C46"/>
    <w:rsid w:val="00F85349"/>
    <w:rsid w:val="00F8539B"/>
    <w:rsid w:val="00F8586A"/>
    <w:rsid w:val="00F859D8"/>
    <w:rsid w:val="00F85CA4"/>
    <w:rsid w:val="00F8666C"/>
    <w:rsid w:val="00F868F5"/>
    <w:rsid w:val="00F875D3"/>
    <w:rsid w:val="00F87DCB"/>
    <w:rsid w:val="00F902FD"/>
    <w:rsid w:val="00F90344"/>
    <w:rsid w:val="00F9056A"/>
    <w:rsid w:val="00F90713"/>
    <w:rsid w:val="00F90E77"/>
    <w:rsid w:val="00F90F8D"/>
    <w:rsid w:val="00F919B5"/>
    <w:rsid w:val="00F92038"/>
    <w:rsid w:val="00F9230C"/>
    <w:rsid w:val="00F92782"/>
    <w:rsid w:val="00F92AE5"/>
    <w:rsid w:val="00F92C60"/>
    <w:rsid w:val="00F92EEF"/>
    <w:rsid w:val="00F93A0F"/>
    <w:rsid w:val="00F93AA9"/>
    <w:rsid w:val="00F94192"/>
    <w:rsid w:val="00F942F5"/>
    <w:rsid w:val="00F943E8"/>
    <w:rsid w:val="00F95AF6"/>
    <w:rsid w:val="00F96985"/>
    <w:rsid w:val="00F97838"/>
    <w:rsid w:val="00FA0979"/>
    <w:rsid w:val="00FA16F4"/>
    <w:rsid w:val="00FA1909"/>
    <w:rsid w:val="00FA24B8"/>
    <w:rsid w:val="00FA29A8"/>
    <w:rsid w:val="00FA2BB3"/>
    <w:rsid w:val="00FA4A57"/>
    <w:rsid w:val="00FA4E8B"/>
    <w:rsid w:val="00FA5339"/>
    <w:rsid w:val="00FA547C"/>
    <w:rsid w:val="00FA585D"/>
    <w:rsid w:val="00FA797C"/>
    <w:rsid w:val="00FA7ABE"/>
    <w:rsid w:val="00FA7E63"/>
    <w:rsid w:val="00FB0445"/>
    <w:rsid w:val="00FB07D3"/>
    <w:rsid w:val="00FB1A04"/>
    <w:rsid w:val="00FB27C6"/>
    <w:rsid w:val="00FB2841"/>
    <w:rsid w:val="00FB3263"/>
    <w:rsid w:val="00FB330B"/>
    <w:rsid w:val="00FB4430"/>
    <w:rsid w:val="00FB4C80"/>
    <w:rsid w:val="00FB524B"/>
    <w:rsid w:val="00FB52BA"/>
    <w:rsid w:val="00FB5433"/>
    <w:rsid w:val="00FB5559"/>
    <w:rsid w:val="00FB5E90"/>
    <w:rsid w:val="00FB60B2"/>
    <w:rsid w:val="00FB6A6A"/>
    <w:rsid w:val="00FB6AF7"/>
    <w:rsid w:val="00FB72D9"/>
    <w:rsid w:val="00FB743F"/>
    <w:rsid w:val="00FB7CAE"/>
    <w:rsid w:val="00FC132F"/>
    <w:rsid w:val="00FC14D6"/>
    <w:rsid w:val="00FC224E"/>
    <w:rsid w:val="00FC2F90"/>
    <w:rsid w:val="00FC3CA0"/>
    <w:rsid w:val="00FC4AD0"/>
    <w:rsid w:val="00FC54BD"/>
    <w:rsid w:val="00FC7413"/>
    <w:rsid w:val="00FC7429"/>
    <w:rsid w:val="00FC7653"/>
    <w:rsid w:val="00FC785A"/>
    <w:rsid w:val="00FC7868"/>
    <w:rsid w:val="00FC7E4E"/>
    <w:rsid w:val="00FD0499"/>
    <w:rsid w:val="00FD07F6"/>
    <w:rsid w:val="00FD0F14"/>
    <w:rsid w:val="00FD1E1B"/>
    <w:rsid w:val="00FD1EC8"/>
    <w:rsid w:val="00FD22FA"/>
    <w:rsid w:val="00FD2AEA"/>
    <w:rsid w:val="00FD2B52"/>
    <w:rsid w:val="00FD343D"/>
    <w:rsid w:val="00FD373C"/>
    <w:rsid w:val="00FD3F3C"/>
    <w:rsid w:val="00FD3FB3"/>
    <w:rsid w:val="00FD405F"/>
    <w:rsid w:val="00FD47ED"/>
    <w:rsid w:val="00FD4EC7"/>
    <w:rsid w:val="00FD5C20"/>
    <w:rsid w:val="00FD6174"/>
    <w:rsid w:val="00FD653F"/>
    <w:rsid w:val="00FD74DB"/>
    <w:rsid w:val="00FD7660"/>
    <w:rsid w:val="00FD77AB"/>
    <w:rsid w:val="00FE00B2"/>
    <w:rsid w:val="00FE0655"/>
    <w:rsid w:val="00FE0C3E"/>
    <w:rsid w:val="00FE1336"/>
    <w:rsid w:val="00FE2365"/>
    <w:rsid w:val="00FE2A4D"/>
    <w:rsid w:val="00FE3C6C"/>
    <w:rsid w:val="00FE3D51"/>
    <w:rsid w:val="00FE4C7B"/>
    <w:rsid w:val="00FE58D1"/>
    <w:rsid w:val="00FE5CEC"/>
    <w:rsid w:val="00FE6BDD"/>
    <w:rsid w:val="00FE7336"/>
    <w:rsid w:val="00FE787C"/>
    <w:rsid w:val="00FF0BB8"/>
    <w:rsid w:val="00FF0CE1"/>
    <w:rsid w:val="00FF10FD"/>
    <w:rsid w:val="00FF3013"/>
    <w:rsid w:val="00FF42E9"/>
    <w:rsid w:val="00FF45A5"/>
    <w:rsid w:val="00FF4A5C"/>
    <w:rsid w:val="00FF547E"/>
    <w:rsid w:val="00FF57F3"/>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99AB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69540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목록 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목록 단락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character" w:customStyle="1" w:styleId="s2">
    <w:name w:val="s2"/>
    <w:basedOn w:val="DefaultParagraphFont"/>
    <w:rsid w:val="005B3064"/>
  </w:style>
  <w:style w:type="paragraph" w:customStyle="1" w:styleId="RAN1bullet1">
    <w:name w:val="RAN1 bullet1"/>
    <w:basedOn w:val="Normal"/>
    <w:link w:val="RAN1bullet1Char"/>
    <w:qFormat/>
    <w:rsid w:val="00890C55"/>
    <w:pPr>
      <w:numPr>
        <w:numId w:val="15"/>
      </w:numPr>
    </w:pPr>
    <w:rPr>
      <w:rFonts w:ascii="Times" w:eastAsia="Batang" w:hAnsi="Times"/>
      <w:sz w:val="20"/>
      <w:lang w:val="en-GB" w:eastAsia="x-none"/>
    </w:rPr>
  </w:style>
  <w:style w:type="character" w:customStyle="1" w:styleId="RAN1bullet1Char">
    <w:name w:val="RAN1 bullet1 Char"/>
    <w:link w:val="RAN1bullet1"/>
    <w:rsid w:val="00890C55"/>
    <w:rPr>
      <w:rFonts w:ascii="Times" w:eastAsia="Batang" w:hAnsi="Times"/>
      <w:szCs w:val="24"/>
      <w:lang w:val="en-GB" w:eastAsia="x-none"/>
    </w:rPr>
  </w:style>
  <w:style w:type="paragraph" w:customStyle="1" w:styleId="RAN1bullet2">
    <w:name w:val="RAN1 bullet2"/>
    <w:basedOn w:val="Normal"/>
    <w:link w:val="RAN1bullet2Char"/>
    <w:qFormat/>
    <w:rsid w:val="00890C55"/>
    <w:pPr>
      <w:numPr>
        <w:ilvl w:val="1"/>
        <w:numId w:val="17"/>
      </w:numPr>
      <w:tabs>
        <w:tab w:val="left" w:pos="1440"/>
      </w:tabs>
    </w:pPr>
    <w:rPr>
      <w:rFonts w:ascii="Times" w:eastAsia="Batang" w:hAnsi="Times"/>
      <w:sz w:val="20"/>
      <w:szCs w:val="20"/>
      <w:lang w:eastAsia="en-US"/>
    </w:rPr>
  </w:style>
  <w:style w:type="paragraph" w:customStyle="1" w:styleId="RAN1bullet3">
    <w:name w:val="RAN1 bullet3"/>
    <w:basedOn w:val="RAN1bullet2"/>
    <w:link w:val="RAN1bullet3Char"/>
    <w:qFormat/>
    <w:rsid w:val="00890C55"/>
    <w:pPr>
      <w:numPr>
        <w:ilvl w:val="2"/>
        <w:numId w:val="16"/>
      </w:numPr>
    </w:pPr>
  </w:style>
  <w:style w:type="character" w:customStyle="1" w:styleId="RAN1bullet2Char">
    <w:name w:val="RAN1 bullet2 Char"/>
    <w:link w:val="RAN1bullet2"/>
    <w:rsid w:val="00890C55"/>
    <w:rPr>
      <w:rFonts w:ascii="Times" w:eastAsia="Batang" w:hAnsi="Times"/>
      <w:lang w:eastAsia="en-US"/>
    </w:rPr>
  </w:style>
  <w:style w:type="character" w:customStyle="1" w:styleId="RAN1bullet3Char">
    <w:name w:val="RAN1 bullet3 Char"/>
    <w:link w:val="RAN1bullet3"/>
    <w:rsid w:val="00890C55"/>
    <w:rPr>
      <w:rFonts w:ascii="Times" w:eastAsia="Batang" w:hAnsi="Times"/>
      <w:lang w:eastAsia="en-US"/>
    </w:rPr>
  </w:style>
  <w:style w:type="paragraph" w:customStyle="1" w:styleId="TdocHeader2">
    <w:name w:val="Tdoc_Header_2"/>
    <w:basedOn w:val="Normal"/>
    <w:rsid w:val="00F92C60"/>
    <w:pPr>
      <w:widowControl w:val="0"/>
      <w:tabs>
        <w:tab w:val="left" w:pos="1440"/>
        <w:tab w:val="left" w:pos="1701"/>
        <w:tab w:val="right" w:pos="9072"/>
        <w:tab w:val="right" w:pos="10206"/>
      </w:tabs>
      <w:ind w:left="1440" w:hanging="1440"/>
      <w:jc w:val="both"/>
    </w:pPr>
    <w:rPr>
      <w:rFonts w:ascii="Arial" w:eastAsia="Batang" w:hAnsi="Arial"/>
      <w:b/>
      <w:sz w:val="18"/>
      <w:szCs w:val="20"/>
      <w:lang w:val="en-GB" w:eastAsia="en-US"/>
    </w:rPr>
  </w:style>
  <w:style w:type="paragraph" w:customStyle="1" w:styleId="bullet">
    <w:name w:val="bullet"/>
    <w:basedOn w:val="ListParagraph"/>
    <w:link w:val="bulletChar"/>
    <w:qFormat/>
    <w:rsid w:val="009A4858"/>
    <w:pPr>
      <w:widowControl w:val="0"/>
      <w:numPr>
        <w:numId w:val="33"/>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9A4858"/>
    <w:rPr>
      <w:rFonts w:ascii="Times New Roman" w:eastAsia="Times New Roman" w:hAnsi="Times New Roman"/>
      <w:kern w:val="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14580898">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81323952">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7989395">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30794136">
      <w:bodyDiv w:val="1"/>
      <w:marLeft w:val="0"/>
      <w:marRight w:val="0"/>
      <w:marTop w:val="0"/>
      <w:marBottom w:val="0"/>
      <w:divBdr>
        <w:top w:val="none" w:sz="0" w:space="0" w:color="auto"/>
        <w:left w:val="none" w:sz="0" w:space="0" w:color="auto"/>
        <w:bottom w:val="none" w:sz="0" w:space="0" w:color="auto"/>
        <w:right w:val="none" w:sz="0" w:space="0" w:color="auto"/>
      </w:divBdr>
    </w:div>
    <w:div w:id="1335719266">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2970208">
      <w:bodyDiv w:val="1"/>
      <w:marLeft w:val="0"/>
      <w:marRight w:val="0"/>
      <w:marTop w:val="0"/>
      <w:marBottom w:val="0"/>
      <w:divBdr>
        <w:top w:val="none" w:sz="0" w:space="0" w:color="auto"/>
        <w:left w:val="none" w:sz="0" w:space="0" w:color="auto"/>
        <w:bottom w:val="none" w:sz="0" w:space="0" w:color="auto"/>
        <w:right w:val="none" w:sz="0" w:space="0" w:color="auto"/>
      </w:divBdr>
      <w:divsChild>
        <w:div w:id="498808514">
          <w:marLeft w:val="0"/>
          <w:marRight w:val="0"/>
          <w:marTop w:val="0"/>
          <w:marBottom w:val="0"/>
          <w:divBdr>
            <w:top w:val="none" w:sz="0" w:space="0" w:color="auto"/>
            <w:left w:val="none" w:sz="0" w:space="0" w:color="auto"/>
            <w:bottom w:val="none" w:sz="0" w:space="0" w:color="auto"/>
            <w:right w:val="none" w:sz="0" w:space="0" w:color="auto"/>
          </w:divBdr>
          <w:divsChild>
            <w:div w:id="1871526148">
              <w:marLeft w:val="0"/>
              <w:marRight w:val="0"/>
              <w:marTop w:val="0"/>
              <w:marBottom w:val="0"/>
              <w:divBdr>
                <w:top w:val="none" w:sz="0" w:space="0" w:color="auto"/>
                <w:left w:val="none" w:sz="0" w:space="0" w:color="auto"/>
                <w:bottom w:val="none" w:sz="0" w:space="0" w:color="auto"/>
                <w:right w:val="none" w:sz="0" w:space="0" w:color="auto"/>
              </w:divBdr>
              <w:divsChild>
                <w:div w:id="1753309657">
                  <w:marLeft w:val="0"/>
                  <w:marRight w:val="0"/>
                  <w:marTop w:val="0"/>
                  <w:marBottom w:val="0"/>
                  <w:divBdr>
                    <w:top w:val="none" w:sz="0" w:space="0" w:color="auto"/>
                    <w:left w:val="none" w:sz="0" w:space="0" w:color="auto"/>
                    <w:bottom w:val="none" w:sz="0" w:space="0" w:color="auto"/>
                    <w:right w:val="none" w:sz="0" w:space="0" w:color="auto"/>
                  </w:divBdr>
                </w:div>
              </w:divsChild>
            </w:div>
            <w:div w:id="1711150356">
              <w:marLeft w:val="0"/>
              <w:marRight w:val="0"/>
              <w:marTop w:val="0"/>
              <w:marBottom w:val="0"/>
              <w:divBdr>
                <w:top w:val="none" w:sz="0" w:space="0" w:color="auto"/>
                <w:left w:val="none" w:sz="0" w:space="0" w:color="auto"/>
                <w:bottom w:val="none" w:sz="0" w:space="0" w:color="auto"/>
                <w:right w:val="none" w:sz="0" w:space="0" w:color="auto"/>
              </w:divBdr>
              <w:divsChild>
                <w:div w:id="1900817985">
                  <w:marLeft w:val="0"/>
                  <w:marRight w:val="0"/>
                  <w:marTop w:val="0"/>
                  <w:marBottom w:val="0"/>
                  <w:divBdr>
                    <w:top w:val="none" w:sz="0" w:space="0" w:color="auto"/>
                    <w:left w:val="none" w:sz="0" w:space="0" w:color="auto"/>
                    <w:bottom w:val="none" w:sz="0" w:space="0" w:color="auto"/>
                    <w:right w:val="none" w:sz="0" w:space="0" w:color="auto"/>
                  </w:divBdr>
                </w:div>
                <w:div w:id="3720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86363174">
      <w:bodyDiv w:val="1"/>
      <w:marLeft w:val="0"/>
      <w:marRight w:val="0"/>
      <w:marTop w:val="0"/>
      <w:marBottom w:val="0"/>
      <w:divBdr>
        <w:top w:val="none" w:sz="0" w:space="0" w:color="auto"/>
        <w:left w:val="none" w:sz="0" w:space="0" w:color="auto"/>
        <w:bottom w:val="none" w:sz="0" w:space="0" w:color="auto"/>
        <w:right w:val="none" w:sz="0" w:space="0" w:color="auto"/>
      </w:divBdr>
    </w:div>
    <w:div w:id="1490050496">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164962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55584072">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47446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 w:id="21447355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19B48-F7DB-D146-9F37-1083F37EC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225</TotalTime>
  <Pages>6</Pages>
  <Words>2240</Words>
  <Characters>12770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14981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Microsoft Office User</cp:lastModifiedBy>
  <cp:revision>20</cp:revision>
  <cp:lastPrinted>2008-01-31T16:09:00Z</cp:lastPrinted>
  <dcterms:created xsi:type="dcterms:W3CDTF">2018-11-01T16:46:00Z</dcterms:created>
  <dcterms:modified xsi:type="dcterms:W3CDTF">2018-11-03T01:12:00Z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